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84AD2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u w:color="2E74B5"/>
          <w:rtl w:val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zh-TW" w:eastAsia="zh-TW"/>
        </w:rPr>
        <w:t>马德里康普顿斯大学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zh-TW"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u w:color="2E74B5"/>
          <w:rtl w:val="0"/>
          <w:lang w:val="en-US"/>
        </w:rPr>
        <w:t>UCM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u w:color="2E74B5"/>
          <w:rtl w:val="0"/>
          <w:lang w:val="en-US" w:eastAsia="zh-CN"/>
        </w:rPr>
        <w:t>）</w:t>
      </w:r>
    </w:p>
    <w:p w14:paraId="19A3155D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u w:color="2E74B5"/>
          <w:rtl w:val="0"/>
          <w:lang w:val="en-US"/>
        </w:rPr>
        <w:t>2026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zh-CN" w:eastAsia="zh-CN"/>
        </w:rPr>
        <w:t>秋季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zh-TW" w:eastAsia="zh-TW"/>
        </w:rPr>
        <w:t>交换生项目</w:t>
      </w:r>
    </w:p>
    <w:p w14:paraId="0E838A52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zh-TW"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en-US" w:eastAsia="zh-CN"/>
        </w:rPr>
        <w:t>报名截止日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sz w:val="44"/>
          <w:szCs w:val="44"/>
          <w:u w:color="2E74B5"/>
          <w:rtl w:val="0"/>
          <w:lang w:val="en-US" w:eastAsia="zh-CN"/>
        </w:rPr>
        <w:t>期6月30日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44"/>
          <w:szCs w:val="44"/>
          <w:u w:color="2E74B5"/>
          <w:rtl w:val="0"/>
          <w:lang w:val="en-US" w:eastAsia="zh-CN"/>
        </w:rPr>
        <w:t>）</w:t>
      </w:r>
    </w:p>
    <w:p w14:paraId="02EF7B0F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  <w:u w:color="2E74B5"/>
          <w:lang w:val="en-US" w:eastAsia="zh-CN"/>
        </w:rPr>
      </w:pPr>
    </w:p>
    <w:p w14:paraId="4D082E10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Helvetica" w:hAnsi="Helvetica" w:eastAsia="Helvetica" w:cs="Helvetica"/>
          <w:b/>
          <w:bCs/>
          <w:color w:val="auto"/>
          <w:sz w:val="30"/>
          <w:szCs w:val="30"/>
        </w:rPr>
      </w:pPr>
    </w:p>
    <w:p w14:paraId="02A13630">
      <w:pPr>
        <w:keepNext w:val="0"/>
        <w:keepLines w:val="0"/>
        <w:pageBreakBefore w:val="0"/>
        <w:framePr w:wrap="auto" w:vAnchor="margin" w:hAnchor="text" w:yAlign="inline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outline w:val="0"/>
          <w:color w:val="auto"/>
          <w:sz w:val="32"/>
          <w:szCs w:val="32"/>
          <w:u w:color="2E74B5"/>
          <w:rtl w:val="0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outline w:val="0"/>
          <w:color w:val="auto"/>
          <w:sz w:val="32"/>
          <w:szCs w:val="32"/>
          <w:u w:color="2E74B5"/>
          <w:rtl w:val="0"/>
          <w:lang w:val="zh-TW" w:eastAsia="zh-TW"/>
        </w:rPr>
        <w:t>学校简介</w:t>
      </w:r>
    </w:p>
    <w:p w14:paraId="1121D3ED">
      <w:pPr>
        <w:keepNext w:val="0"/>
        <w:keepLines w:val="0"/>
        <w:pageBreakBefore w:val="0"/>
        <w:framePr w:wrap="auto" w:vAnchor="margin" w:hAnchor="text" w:yAlign="inline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sz w:val="32"/>
          <w:szCs w:val="32"/>
          <w:u w:color="2E74B5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rtl w:val="0"/>
          <w:lang w:val="zh-TW" w:eastAsia="zh-TW"/>
        </w:rPr>
        <w:t>马德里康普顿斯大</w:t>
      </w:r>
      <w:r>
        <w:rPr>
          <w:rFonts w:hint="default" w:ascii="Times New Roman" w:hAnsi="Times New Roman" w:eastAsia="方正仿宋_GB2312" w:cs="Times New Roman"/>
          <w:color w:val="auto"/>
          <w:kern w:val="0"/>
          <w:sz w:val="32"/>
          <w:szCs w:val="32"/>
          <w:rtl w:val="0"/>
          <w:lang w:val="zh-TW" w:eastAsia="zh-TW"/>
        </w:rPr>
        <w:t>学</w:t>
      </w:r>
      <w:r>
        <w:rPr>
          <w:rFonts w:hint="default" w:ascii="Times New Roman" w:hAnsi="Times New Roman" w:eastAsia="方正仿宋_GB2312" w:cs="Times New Roman"/>
          <w:color w:val="auto"/>
          <w:kern w:val="0"/>
          <w:sz w:val="32"/>
          <w:szCs w:val="32"/>
          <w:rtl w:val="0"/>
          <w:lang w:val="zh-TW" w:eastAsia="zh-CN"/>
        </w:rPr>
        <w:t>（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rtl w:val="0"/>
          <w:lang w:val="en-US"/>
        </w:rPr>
        <w:t>UNIVERSIDAD COMPLUTENSE DE MADRID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rtl w:val="0"/>
          <w:lang w:val="en-US" w:eastAsia="zh-CN"/>
        </w:rPr>
        <w:t>）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zh-TW" w:eastAsia="zh-TW"/>
        </w:rPr>
        <w:t>创建于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en-US"/>
        </w:rPr>
        <w:t>1499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zh-TW" w:eastAsia="zh-TW"/>
        </w:rPr>
        <w:t>年，是西班牙历史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zh-TW" w:eastAsia="zh-TW"/>
        </w:rPr>
        <w:t>最悠久，规模最庞大，科系最全的大学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zh-TW" w:eastAsia="zh-CN"/>
        </w:rPr>
        <w:t>。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zh-TW" w:eastAsia="zh-TW"/>
        </w:rPr>
        <w:t>康普顿斯大学师资力量雄厚，其优质的教育水平享誉球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zh-TW"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rtl w:val="0"/>
          <w:lang w:val="en-US"/>
        </w:rPr>
        <w:t>QS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rtl w:val="0"/>
          <w:lang w:val="zh-TW" w:eastAsia="zh-TW"/>
        </w:rPr>
        <w:t>排名全球第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rtl w:val="0"/>
          <w:lang w:val="en-US"/>
        </w:rPr>
        <w:t>119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rtl w:val="0"/>
          <w:lang w:val="zh-TW" w:eastAsia="zh-TW"/>
        </w:rPr>
        <w:t>位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rtl w:val="0"/>
          <w:lang w:val="zh-TW" w:eastAsia="zh-CN"/>
        </w:rPr>
        <w:t>。</w:t>
      </w:r>
      <w:r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sz w:val="32"/>
          <w:szCs w:val="32"/>
          <w:u w:color="2E74B5"/>
          <w:rtl w:val="0"/>
          <w:lang w:val="en-US"/>
        </w:rPr>
        <w:t xml:space="preserve">        </w:t>
      </w:r>
    </w:p>
    <w:p w14:paraId="6BA41BC7">
      <w:pPr>
        <w:keepNext w:val="0"/>
        <w:keepLines w:val="0"/>
        <w:pageBreakBefore w:val="0"/>
        <w:framePr w:wrap="auto" w:vAnchor="margin" w:hAnchor="text" w:yAlign="inline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sz w:val="32"/>
          <w:szCs w:val="32"/>
          <w:u w:color="2E74B5"/>
          <w:rtl w:val="0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rtl w:val="0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sz w:val="32"/>
          <w:szCs w:val="32"/>
          <w:u w:color="2E74B5"/>
          <w:rtl w:val="0"/>
          <w:lang w:val="en-US" w:eastAsia="zh-CN"/>
        </w:rPr>
        <w:t>、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sz w:val="32"/>
          <w:szCs w:val="32"/>
          <w:u w:color="2E74B5"/>
          <w:rtl w:val="0"/>
          <w:lang w:val="zh-TW" w:eastAsia="zh-TW"/>
        </w:rPr>
        <w:t>项目介绍</w:t>
      </w:r>
    </w:p>
    <w:p w14:paraId="01926AB8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（一）西班牙语+专业（英文授课）交换项目</w:t>
      </w:r>
    </w:p>
    <w:p w14:paraId="16DF74E4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CN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1.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招生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对象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：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学校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全日制在校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本科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学生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CN"/>
        </w:rPr>
        <w:t>；</w:t>
      </w:r>
    </w:p>
    <w:p w14:paraId="5DE654FC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2.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招生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要求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：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在校期间无违纪违规记录，思想品德良好，无学术不端行为，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平均绩点（GPA）</w:t>
      </w:r>
      <w:r>
        <w:rPr>
          <w:rFonts w:hint="default" w:ascii="Arial" w:hAnsi="Arial" w:eastAsia="方正仿宋_GB2312" w:cs="Arial"/>
          <w:color w:val="auto"/>
          <w:kern w:val="0"/>
          <w:sz w:val="32"/>
          <w:szCs w:val="32"/>
          <w:u w:color="222222"/>
          <w:rtl w:val="0"/>
          <w:lang w:val="en-US" w:eastAsia="zh-CN"/>
        </w:rPr>
        <w:t>≥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2.8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英语要求达到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雅思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  <w:t>5.0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或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CET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四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级及以上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；</w:t>
      </w:r>
    </w:p>
    <w:p w14:paraId="19064B5A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default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3.留学期限：一学期或一学年。</w:t>
      </w:r>
    </w:p>
    <w:p w14:paraId="35D82DD9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kern w:val="0"/>
          <w:sz w:val="32"/>
          <w:szCs w:val="32"/>
          <w:u w:color="222222"/>
          <w:rtl w:val="0"/>
          <w:lang w:val="zh-TW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kern w:val="0"/>
          <w:sz w:val="32"/>
          <w:szCs w:val="32"/>
          <w:u w:color="222222"/>
          <w:rtl w:val="0"/>
          <w:lang w:val="zh-TW" w:eastAsia="zh-CN"/>
        </w:rPr>
        <w:t>（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kern w:val="0"/>
          <w:sz w:val="32"/>
          <w:szCs w:val="32"/>
          <w:u w:color="222222"/>
          <w:rtl w:val="0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kern w:val="0"/>
          <w:sz w:val="32"/>
          <w:szCs w:val="32"/>
          <w:u w:color="222222"/>
          <w:rtl w:val="0"/>
          <w:lang w:val="zh-TW" w:eastAsia="zh-CN"/>
        </w:rPr>
        <w:t>）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kern w:val="0"/>
          <w:sz w:val="32"/>
          <w:szCs w:val="32"/>
          <w:u w:color="222222"/>
          <w:rtl w:val="0"/>
          <w:lang w:val="en-US" w:eastAsia="zh-CN"/>
        </w:rPr>
        <w:t>西班牙语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kern w:val="0"/>
          <w:sz w:val="32"/>
          <w:szCs w:val="32"/>
          <w:u w:color="222222"/>
          <w:rtl w:val="0"/>
          <w:lang w:val="zh-TW" w:eastAsia="zh-CN"/>
        </w:rPr>
        <w:t>本硕语言预科项目</w:t>
      </w:r>
    </w:p>
    <w:p w14:paraId="17C63320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  <w:t>1.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招生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对象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学校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全日制在校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本科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学生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CN"/>
        </w:rPr>
        <w:t>；</w:t>
      </w:r>
    </w:p>
    <w:p w14:paraId="2C6EF1B6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  <w:t>2.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招生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要求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在校期间无违纪违规记录，思想品德良好，无学术不端行为，平均绩点（GPA）</w:t>
      </w:r>
      <w:r>
        <w:rPr>
          <w:rFonts w:hint="default" w:ascii="Arial" w:hAnsi="Arial" w:eastAsia="方正仿宋_GB2312" w:cs="Arial"/>
          <w:color w:val="auto"/>
          <w:kern w:val="0"/>
          <w:sz w:val="32"/>
          <w:szCs w:val="32"/>
          <w:u w:color="222222"/>
          <w:rtl w:val="0"/>
          <w:lang w:val="en-US" w:eastAsia="zh-CN"/>
        </w:rPr>
        <w:t>≥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2.8；</w:t>
      </w:r>
    </w:p>
    <w:p w14:paraId="6AF2F5A0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default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3.留学期限：一学期或一学年。</w:t>
      </w:r>
    </w:p>
    <w:p w14:paraId="654E9591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三、项目优势</w:t>
      </w:r>
    </w:p>
    <w:p w14:paraId="7F5E447A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2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5" w:firstLineChars="0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校际合作项目，学分互认；</w:t>
      </w:r>
    </w:p>
    <w:p w14:paraId="2A61411C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2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5" w:firstLineChars="0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学习世界第三大语言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——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西班牙语，专业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+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小语种，增长</w:t>
      </w:r>
    </w:p>
    <w:p w14:paraId="3A9CD470">
      <w:pPr>
        <w:keepNext w:val="0"/>
        <w:keepLines w:val="0"/>
        <w:pageBreakBefore w:val="0"/>
        <w:framePr w:wrap="auto" w:vAnchor="margin" w:hAnchor="text" w:yAlign="inline"/>
        <w:widowControl/>
        <w:numPr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个人技能，提高就业竞争力；</w:t>
      </w:r>
    </w:p>
    <w:p w14:paraId="6980F6EA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2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5" w:firstLineChars="0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拓宽国际视野，背景提升，有利于硕士名校申请；</w:t>
      </w:r>
    </w:p>
    <w:p w14:paraId="026C30BD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2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5" w:firstLineChars="0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西班牙大学世界排名领先，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30%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的公立大学进入世界</w:t>
      </w:r>
    </w:p>
    <w:p w14:paraId="7301BC4D">
      <w:pPr>
        <w:keepNext w:val="0"/>
        <w:keepLines w:val="0"/>
        <w:pageBreakBefore w:val="0"/>
        <w:framePr w:wrap="auto" w:vAnchor="margin" w:hAnchor="text" w:yAlign="inline"/>
        <w:widowControl/>
        <w:numPr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Top500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，专业全面完整，学制短，西班牙大部分硕士课程仅需一年，节约时间成本。</w:t>
      </w:r>
    </w:p>
    <w:p w14:paraId="1953D278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四、</w:t>
      </w:r>
      <w:r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课程</w:t>
      </w:r>
      <w:r>
        <w:rPr>
          <w:rFonts w:hint="eastAsia" w:ascii="方正仿宋_GB2312" w:hAnsi="方正仿宋_GB2312" w:eastAsia="方正仿宋_GB2312" w:cs="方正仿宋_GB2312"/>
          <w:b/>
          <w:bCs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费用</w:t>
      </w:r>
    </w:p>
    <w:p w14:paraId="40814951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" w:firstLineChars="131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 xml:space="preserve">1. 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kern w:val="0"/>
          <w:sz w:val="32"/>
          <w:szCs w:val="32"/>
          <w:u w:color="222222"/>
          <w:rtl w:val="0"/>
          <w:lang w:val="en-US" w:eastAsia="zh-CN"/>
        </w:rPr>
        <w:t>西班牙语+专业（英文授课）交换项目费用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：前两门课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CN"/>
        </w:rPr>
        <w:t>（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西班牙语+专业课1门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CN"/>
        </w:rPr>
        <w:t>）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共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1100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欧元，每增加一门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510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欧元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CN"/>
        </w:rPr>
        <w:t>；</w:t>
      </w:r>
    </w:p>
    <w:p w14:paraId="0630F1D3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" w:firstLineChars="131"/>
        <w:jc w:val="left"/>
        <w:textAlignment w:val="auto"/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本硕语言预科项目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费用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：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5432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欧元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/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年（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600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课时）；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6241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欧元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/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年（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en-US"/>
        </w:rPr>
        <w:t>700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课时）</w:t>
      </w:r>
      <w:r>
        <w:rPr>
          <w:rFonts w:hint="eastAsia" w:ascii="方正仿宋_GB2312" w:hAnsi="方正仿宋_GB2312" w:eastAsia="方正仿宋_GB2312" w:cs="方正仿宋_GB2312"/>
          <w:outline w:val="0"/>
          <w:color w:val="auto"/>
          <w:kern w:val="0"/>
          <w:sz w:val="32"/>
          <w:szCs w:val="32"/>
          <w:u w:color="222222"/>
          <w:rtl w:val="0"/>
          <w:lang w:val="zh-TW" w:eastAsia="zh-CN"/>
        </w:rPr>
        <w:t>。</w:t>
      </w:r>
    </w:p>
    <w:p w14:paraId="28C1DF8D">
      <w:pPr>
        <w:keepNext w:val="0"/>
        <w:keepLines w:val="0"/>
        <w:pageBreakBefore w:val="0"/>
        <w:framePr w:wrap="auto" w:vAnchor="margin" w:hAnchor="text" w:yAlign="inline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zh-TW" w:eastAsia="zh-TW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en-US" w:eastAsia="zh-CN"/>
        </w:rPr>
        <w:t>五、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auto"/>
          <w:kern w:val="0"/>
          <w:sz w:val="32"/>
          <w:szCs w:val="32"/>
          <w:u w:color="222222"/>
          <w:rtl w:val="0"/>
          <w:lang w:val="zh-TW" w:eastAsia="zh-TW"/>
        </w:rPr>
        <w:t>报名及选派流程</w:t>
      </w:r>
    </w:p>
    <w:p w14:paraId="2C3C68DF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en-US" w:eastAsia="zh-CN"/>
        </w:rPr>
        <w:t>请有意愿报名的同学于2026年6月15日前按照要求填报《四川轻化工大学本科生硕士研究生出国（境)申请表》（附件1）及《家长同意书》（附件2）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完成校内报名程序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CN"/>
        </w:rPr>
        <w:t>。</w:t>
      </w:r>
    </w:p>
    <w:p w14:paraId="7C493BB0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重要提醒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en-US"/>
        </w:rPr>
        <w:t>: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学生在提交报名申请前须与父母就赴国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en-US"/>
        </w:rPr>
        <w:t>(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境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en-US"/>
        </w:rPr>
        <w:t>)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外参与交流学习项目进行充分沟通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en-US"/>
        </w:rPr>
        <w:t>,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征得父母同意后方可报名。此外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en-US"/>
        </w:rPr>
        <w:t>,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应就交换学习期间选课、回校后学分认定、等事宜征求所在院系意见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rtl w:val="0"/>
          <w:lang w:val="en-US"/>
        </w:rPr>
        <w:t>,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zh-TW" w:eastAsia="zh-TW"/>
        </w:rPr>
        <w:t>提出具体计划并征得同意后方可报名。</w:t>
      </w:r>
    </w:p>
    <w:p w14:paraId="4640EA55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u w:color="2E74B5"/>
          <w:rtl w:val="0"/>
          <w:lang w:val="en-US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rtl w:val="0"/>
          <w:lang w:val="en-US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rtl w:val="0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  <w:t>若对此项目有任何疑问，欢迎来电咨询：</w:t>
      </w:r>
    </w:p>
    <w:p w14:paraId="345F74D5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  <w:t xml:space="preserve">     1.校内申报咨询：国际合作与交流处余杨老师    13388163149</w:t>
      </w:r>
    </w:p>
    <w:p w14:paraId="3E966516">
      <w:pPr>
        <w:keepNext w:val="0"/>
        <w:keepLines w:val="0"/>
        <w:pageBreakBefore w:val="0"/>
        <w:framePr w:wrap="auto" w:vAnchor="margin" w:hAnchor="text" w:yAlign="inline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12" w:leftChars="0" w:right="0" w:rightChars="0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  <w:t>2.项目申报条件、课程、费用等咨询：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zh-TW" w:eastAsia="zh-TW"/>
        </w:rPr>
        <w:t>李老师：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  <w:t xml:space="preserve">13503093999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  <w:t>QQ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  <w:t>1257597795</w:t>
      </w:r>
    </w:p>
    <w:p w14:paraId="0A1270C9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/>
        </w:rPr>
      </w:pPr>
    </w:p>
    <w:p w14:paraId="14E920BB">
      <w:pPr>
        <w:keepNext w:val="0"/>
        <w:keepLines w:val="0"/>
        <w:pageBreakBefore w:val="0"/>
        <w:framePr w:wrap="auto" w:vAnchor="margin" w:hAnchor="text" w:yAlign="inline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  <w:t>附件：</w:t>
      </w:r>
    </w:p>
    <w:p w14:paraId="0CFEC53F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3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en-US" w:eastAsia="zh-CN"/>
        </w:rPr>
        <w:t>《四川轻化工大学本科生硕士研究生出国（境)申请表》</w:t>
      </w:r>
    </w:p>
    <w:p w14:paraId="7D60E391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3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jc w:val="left"/>
        <w:textAlignment w:val="auto"/>
        <w:rPr>
          <w:rFonts w:hint="default" w:ascii="方正仿宋_GB2312" w:hAnsi="方正仿宋_GB2312" w:eastAsia="方正仿宋_GB2312" w:cs="方正仿宋_GB2312"/>
          <w:color w:val="auto"/>
          <w:kern w:val="0"/>
          <w:sz w:val="32"/>
          <w:szCs w:val="32"/>
          <w:u w:color="22222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olor w:val="auto"/>
          <w:sz w:val="32"/>
          <w:szCs w:val="32"/>
          <w:rtl w:val="0"/>
          <w:lang w:val="en-US" w:eastAsia="zh-CN"/>
        </w:rPr>
        <w:t>《家长同意书》</w:t>
      </w:r>
    </w:p>
    <w:p w14:paraId="4E29C266">
      <w:pPr>
        <w:keepNext w:val="0"/>
        <w:keepLines w:val="0"/>
        <w:pageBreakBefore w:val="0"/>
        <w:framePr w:wrap="auto" w:vAnchor="margin" w:hAnchor="text" w:yAlign="inline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12" w:leftChars="0" w:right="0" w:rightChars="0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</w:pPr>
    </w:p>
    <w:p w14:paraId="615587E3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/>
        </w:rPr>
      </w:pPr>
    </w:p>
    <w:p w14:paraId="7D70C670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rtl w:val="0"/>
          <w:lang w:val="en-US" w:eastAsia="zh-CN"/>
        </w:rPr>
        <w:t xml:space="preserve">               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  <w:t>国际合作与交流处</w:t>
      </w:r>
    </w:p>
    <w:p w14:paraId="206EBBD4">
      <w:pPr>
        <w:keepNext w:val="0"/>
        <w:keepLines w:val="0"/>
        <w:pageBreakBefore w:val="0"/>
        <w:framePr w:wrap="auto" w:vAnchor="margin" w:hAnchor="text" w:yAlign="inline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rtl w:val="0"/>
          <w:lang w:val="en-US" w:eastAsia="zh-CN"/>
        </w:rPr>
        <w:t xml:space="preserve">                                 2026年4月28日</w:t>
      </w:r>
    </w:p>
    <w:sectPr>
      <w:headerReference r:id="rId5" w:type="default"/>
      <w:footerReference r:id="rId6" w:type="default"/>
      <w:pgSz w:w="11900" w:h="16840"/>
      <w:pgMar w:top="1440" w:right="1260" w:bottom="1440" w:left="16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21487F9-3715-43CD-B2A6-CDDFC4CEE2D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  <w:embedRegular r:id="rId2" w:fontKey="{3FC5FCFD-A149-4C89-A6AB-E7F7A295948F}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PingFang SC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FDA669F4-FEEF-467E-A507-F31571E108A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E4D9181-F30C-45B0-95B3-0E1CAE044CC1}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5" w:fontKey="{E83FB827-37CB-4B20-BF7B-32792D037CE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7C888">
    <w:pPr>
      <w:pStyle w:val="6"/>
      <w:framePr w:wrap="auto" w:vAnchor="margin" w:hAnchor="text" w:yAlign="inline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89591">
    <w:pPr>
      <w:pStyle w:val="6"/>
      <w:framePr w:wrap="auto" w:vAnchor="margin" w:hAnchor="text" w:yAlign="inline"/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CAD2F8"/>
    <w:multiLevelType w:val="singleLevel"/>
    <w:tmpl w:val="0FCAD2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83F4633"/>
    <w:multiLevelType w:val="singleLevel"/>
    <w:tmpl w:val="383F463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08C50BC"/>
    <w:multiLevelType w:val="singleLevel"/>
    <w:tmpl w:val="608C50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embedTrueTypeFonts/>
  <w:saveSubsetFonts/>
  <w:bordersDoNotSurroundHeader w:val="0"/>
  <w:bordersDoNotSurroundFooter w:val="0"/>
  <w:documentProtection w:enforcement="0"/>
  <w:defaultTabStop w:val="4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rsids>
    <w:rsidRoot w:val="00000000"/>
    <w:rsid w:val="0E7623BF"/>
    <w:rsid w:val="215C1690"/>
    <w:rsid w:val="269C3827"/>
    <w:rsid w:val="28C0551F"/>
    <w:rsid w:val="2DD94A75"/>
    <w:rsid w:val="4F6507F6"/>
    <w:rsid w:val="5DC87159"/>
    <w:rsid w:val="732950C8"/>
    <w:rsid w:val="7E3F60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等线" w:hAnsi="等线" w:eastAsia="等线" w:cs="等线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PingFang SC Regular" w:hAnsi="PingFang SC Regular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</w:rPr>
  </w:style>
  <w:style w:type="paragraph" w:styleId="7">
    <w:name w:val="List Paragraph"/>
    <w:qFormat/>
    <w:uiPriority w:val="0"/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420"/>
      <w:jc w:val="both"/>
      <w:outlineLvl w:val="9"/>
    </w:pPr>
    <w:rPr>
      <w:rFonts w:ascii="等线" w:hAnsi="等线" w:eastAsia="等线" w:cs="等线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860</Words>
  <Characters>982</Characters>
  <TotalTime>18</TotalTime>
  <ScaleCrop>false</ScaleCrop>
  <LinksUpToDate>false</LinksUpToDate>
  <CharactersWithSpaces>1079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2026-04-28T07:36:00Z</dcterms:created>
  <dc:creator>540</dc:creator>
  <cp:lastModifiedBy>余杨</cp:lastModifiedBy>
  <dcterms:modified xsi:type="dcterms:W3CDTF">2026-04-29T02:38:04Z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eyJoZGlkIjoiNjliNzllMDc2NzUwY2QyYTVhZTQwMTQ4NTgxY2NlMjMiLCJ1c2VySWQiOiIzNzQ1NjU5MTIifQ==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CC0DB74A3962489386DD6E547CEC3639_12</vt:lpwstr>
  </property>
</Properties>
</file>