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eastAsia="zh-CN"/>
        </w:rPr>
      </w:pPr>
      <w:r>
        <w:rPr>
          <w:rFonts w:hint="eastAsia"/>
          <w:lang w:eastAsia="zh-CN"/>
        </w:rPr>
        <w:t>远大物产集团有限公司</w:t>
      </w:r>
    </w:p>
    <w:p>
      <w:pPr>
        <w:pStyle w:val="2"/>
        <w:jc w:val="center"/>
        <w:rPr>
          <w:rFonts w:hint="eastAsia"/>
          <w:lang w:val="en-US" w:eastAsia="zh-CN"/>
        </w:rPr>
      </w:pPr>
      <w:r>
        <w:rPr>
          <w:rFonts w:hint="eastAsia"/>
          <w:lang w:eastAsia="zh-CN"/>
        </w:rPr>
        <w:t>心无限</w:t>
      </w:r>
      <w:r>
        <w:rPr>
          <w:rFonts w:hint="eastAsia"/>
          <w:lang w:val="en-US" w:eastAsia="zh-CN"/>
        </w:rPr>
        <w:t xml:space="preserve"> 志远大</w:t>
      </w:r>
    </w:p>
    <w:p>
      <w:pPr>
        <w:pStyle w:val="3"/>
        <w:rPr>
          <w:rFonts w:hint="eastAsia"/>
          <w:lang w:val="en-US" w:eastAsia="zh-CN"/>
        </w:rPr>
      </w:pPr>
      <w:r>
        <w:rPr>
          <w:rFonts w:hint="eastAsia"/>
          <w:lang w:val="en-US" w:eastAsia="zh-CN"/>
        </w:rPr>
        <w:t>集团简介</w:t>
      </w:r>
    </w:p>
    <w:p>
      <w:pPr>
        <w:ind w:firstLine="420"/>
        <w:rPr>
          <w:rFonts w:hint="eastAsia"/>
          <w:lang w:val="en-US" w:eastAsia="zh-CN"/>
        </w:rPr>
      </w:pPr>
      <w:r>
        <w:rPr>
          <w:rFonts w:hint="eastAsia"/>
          <w:lang w:val="en-US" w:eastAsia="zh-CN"/>
        </w:rPr>
        <w:t>远大物产集团有限公司成立于1994年7月，目前已发展成为集贸易、物流、投资于一体的综合性企业集团，年销售额突破550亿元，连年入围中国企业500强。2015年，远大物产纳税6.15亿元，在宁波市纳税50强企业中排名第30位。</w:t>
      </w:r>
    </w:p>
    <w:p>
      <w:pPr>
        <w:ind w:firstLine="420"/>
        <w:rPr>
          <w:rFonts w:hint="eastAsia"/>
          <w:lang w:val="en-US" w:eastAsia="zh-CN"/>
        </w:rPr>
      </w:pPr>
      <w:r>
        <w:rPr>
          <w:rFonts w:hint="eastAsia"/>
          <w:lang w:val="en-US" w:eastAsia="zh-CN"/>
        </w:rPr>
        <w:t>集团主营石化、能源、金属、农产品等大宗商品贸易，在全国各地拥有全资及控股子公司30余家，在海外多个地区设立了业务机构，基本形成了宁波、上海双总部，服务全国，走向世界的战略布局。</w:t>
      </w:r>
    </w:p>
    <w:p>
      <w:pPr>
        <w:ind w:firstLine="420"/>
        <w:rPr>
          <w:rFonts w:hint="eastAsia"/>
          <w:lang w:val="en-US" w:eastAsia="zh-CN"/>
        </w:rPr>
      </w:pPr>
      <w:r>
        <w:rPr>
          <w:rFonts w:hint="eastAsia"/>
          <w:lang w:val="en-US" w:eastAsia="zh-CN"/>
        </w:rPr>
        <w:t>集团在“忠诚、朴实、勤奋、创新”的企业精神和“敬天、爱人、感恩、分享”的价值观引领下，实践“为您创造价值”的使命，秉承稳健经营的理念，坚持供应链管理商的市场定位，与上游众多世界500强企业或行业巨头建立战略伙伴关系，为下游提供包括信息、仓储、物流、类金融等在内的综合性服务，同时运用保险、期货、期权等多种金融工具管理市场风险，努力打造具有最行业领先地位的国际化企业集团。</w:t>
      </w:r>
    </w:p>
    <w:p>
      <w:pPr>
        <w:ind w:firstLine="420"/>
        <w:rPr>
          <w:rFonts w:hint="eastAsia"/>
          <w:lang w:val="en-US" w:eastAsia="zh-CN"/>
        </w:rPr>
      </w:pPr>
      <w:r>
        <w:rPr>
          <w:rFonts w:hint="eastAsia"/>
          <w:lang w:val="en-US" w:eastAsia="zh-CN"/>
        </w:rPr>
        <w:t>集团投资主要涉及金融、物流等贸易服务相关领域，参股宁波东海银行，发起设立宁波市外贸小额贷款有限公司；在大榭开发区招商国际码头旁置地175亩，建立远大物流基地，并通过租赁及与专业物流公司合作，在全国主要港口建立了区域性物流分拨中心，为服务全球客户打下坚实基础。</w:t>
      </w:r>
    </w:p>
    <w:p>
      <w:pPr>
        <w:rPr>
          <w:rFonts w:hint="eastAsia"/>
          <w:lang w:val="en-US" w:eastAsia="zh-CN"/>
        </w:rPr>
      </w:pPr>
    </w:p>
    <w:p>
      <w:pPr>
        <w:pStyle w:val="3"/>
        <w:rPr>
          <w:rFonts w:hint="eastAsia"/>
          <w:lang w:val="en-US" w:eastAsia="zh-CN"/>
        </w:rPr>
      </w:pPr>
      <w:r>
        <w:rPr>
          <w:rFonts w:hint="eastAsia"/>
          <w:lang w:val="en-US" w:eastAsia="zh-CN"/>
        </w:rPr>
        <w:t>发展历程</w:t>
      </w:r>
    </w:p>
    <w:p>
      <w:pPr>
        <w:pStyle w:val="4"/>
        <w:rPr>
          <w:rFonts w:hint="eastAsia"/>
          <w:lang w:val="en-US" w:eastAsia="zh-CN"/>
        </w:rPr>
      </w:pPr>
      <w:r>
        <w:rPr>
          <w:rFonts w:hint="eastAsia"/>
          <w:lang w:val="en-US" w:eastAsia="zh-CN"/>
        </w:rPr>
        <w:t>第一阶段（1994-1999）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浙江远大贸易有限公司（原名）成立于1994年7月，主要经营木制工艺品、毛绒玩具和工艺品的出口自营业务。1995年起，公司开展出口代理业务，并在1998年间向进口业务发展，逐步实现进出口平衡。</w:t>
      </w:r>
    </w:p>
    <w:p>
      <w:pPr>
        <w:rPr>
          <w:rFonts w:hint="eastAsia"/>
          <w:lang w:val="en-US" w:eastAsia="zh-CN"/>
        </w:rPr>
      </w:pPr>
    </w:p>
    <w:p>
      <w:pPr>
        <w:pStyle w:val="4"/>
        <w:rPr>
          <w:rFonts w:hint="eastAsia"/>
          <w:lang w:val="en-US" w:eastAsia="zh-CN"/>
        </w:rPr>
      </w:pPr>
      <w:r>
        <w:rPr>
          <w:rFonts w:hint="eastAsia"/>
          <w:lang w:val="en-US" w:eastAsia="zh-CN"/>
        </w:rPr>
        <w:t>第二阶段（1999-2010）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1999年，公司改制为浙江远大进出口有限公司。在这个阶段，公司将自身定位为石化产品分销商，开始与石化产业内行业巨头建立长期、良好的合作关系。2005年，公司全年进出口额突破8亿元，公司根据战略发展策略，增设了钢铁贸易业务。</w:t>
      </w:r>
    </w:p>
    <w:p>
      <w:pPr>
        <w:rPr>
          <w:rFonts w:hint="eastAsia"/>
          <w:lang w:val="en-US" w:eastAsia="zh-CN"/>
        </w:rPr>
      </w:pPr>
      <w:r>
        <w:rPr>
          <w:rFonts w:hint="eastAsia"/>
          <w:lang w:val="en-US" w:eastAsia="zh-CN"/>
        </w:rPr>
        <w:t>为了专业化管理，以公司出口事业部为班底，浙江新景进出口有限公司于2005年12月成立，目前已打造成为一家从事对外贸易经营活动的专业化公司，产品涉及钢铁、五金机电、纺织服装、汽车配件、家电电子、塑料日用品、户外休闲用品、家具建材等领域。</w:t>
      </w:r>
    </w:p>
    <w:p>
      <w:pPr>
        <w:rPr>
          <w:rFonts w:hint="eastAsia"/>
          <w:lang w:val="en-US" w:eastAsia="zh-CN"/>
        </w:rPr>
      </w:pPr>
      <w:r>
        <w:rPr>
          <w:rFonts w:hint="eastAsia"/>
          <w:lang w:val="en-US" w:eastAsia="zh-CN"/>
        </w:rPr>
        <w:t>2008年，受金融危机影响，公司经营遭遇寒冬，经过一系列业务结构的调整，以及管理经营的改革，公司成功经受住经济危机的考验，逆流而上。</w:t>
      </w:r>
    </w:p>
    <w:p>
      <w:pPr>
        <w:rPr>
          <w:rFonts w:hint="eastAsia"/>
          <w:lang w:val="en-US" w:eastAsia="zh-CN"/>
        </w:rPr>
      </w:pPr>
    </w:p>
    <w:p>
      <w:pPr>
        <w:pStyle w:val="4"/>
        <w:rPr>
          <w:rFonts w:hint="eastAsia"/>
          <w:lang w:val="en-US" w:eastAsia="zh-CN"/>
        </w:rPr>
      </w:pPr>
      <w:r>
        <w:rPr>
          <w:rFonts w:hint="eastAsia"/>
          <w:lang w:val="en-US" w:eastAsia="zh-CN"/>
        </w:rPr>
        <w:t>第三阶段（2010年至今）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2010年，公司正式更名为远大物产集团有限公司，组建远大物产集团，开启集团化管理、专业化运营的转型。至今集团下属成立了30余家子公司，销售额突破560亿元人民币。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远大物产经过二十多年的发展，基本上形成了期现货结合，内外贸联动的业务格局，初步确立了“整合通过各个产业链（能源化工、黑色金属、农产品、有色金属等）成为全球综合实力领先的产业服务商，实现产业报国的梦想”的企业愿景。</w:t>
      </w:r>
    </w:p>
    <w:p>
      <w:pPr>
        <w:rPr>
          <w:rFonts w:hint="eastAsia"/>
          <w:lang w:val="en-US" w:eastAsia="zh-CN"/>
        </w:rPr>
      </w:pPr>
    </w:p>
    <w:p>
      <w:pPr>
        <w:pStyle w:val="4"/>
        <w:rPr>
          <w:rFonts w:hint="eastAsia"/>
          <w:lang w:val="en-US" w:eastAsia="zh-CN"/>
        </w:rPr>
      </w:pPr>
      <w:r>
        <w:rPr>
          <w:rFonts w:hint="eastAsia"/>
          <w:lang w:val="en-US" w:eastAsia="zh-CN"/>
        </w:rPr>
        <w:t>发展中的变革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2005年间，公司为管理现货业务风险，开始进入中远期电子交易市场，进行期货相关的业务。2007年起，利用期货、交割品种及相关品种期货交易进行套期保值，并同时运用多种各种套利交易方式，优化持有成本、增强盈利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2010年集团开始探索产业与金融资本的有机结合的道路，实现虚实结合，使盈利模式多样化，通过现货和期货的有效融合，建立现货价格优势，增加销售收入，提高资金的使用效率，实现净利润和资金回报率的稳定增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为实现客户的价值最大化，集团坚持供应链管理商的市场定位，为下游中小型工业企业提供零库存管理的综合性服务，使得中小型工业企业能够获得市场信息、库存管理、仓储配套、物流运输等方方面面的附加性服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集团将持续通过改革和转变，整合渠道优势、研究优势、衍生品运用等优势，在未来形成一个完整、高效的具有独特核心竞争力的企业运营系统。</w:t>
      </w:r>
    </w:p>
    <w:p>
      <w:pPr>
        <w:pStyle w:val="3"/>
        <w:rPr>
          <w:rFonts w:hint="eastAsia"/>
          <w:lang w:val="en-US" w:eastAsia="zh-CN"/>
        </w:rPr>
      </w:pPr>
      <w:r>
        <w:rPr>
          <w:rFonts w:hint="eastAsia"/>
          <w:lang w:val="en-US" w:eastAsia="zh-CN"/>
        </w:rPr>
        <w:t>福利政策</w:t>
      </w:r>
    </w:p>
    <w:p>
      <w:pPr>
        <w:rPr>
          <w:rFonts w:hint="eastAsia"/>
          <w:lang w:val="en-US" w:eastAsia="zh-CN"/>
        </w:rPr>
      </w:pPr>
      <w:r>
        <w:rPr>
          <w:rFonts w:hint="eastAsia"/>
          <w:lang w:val="en-US" w:eastAsia="zh-CN"/>
        </w:rPr>
        <w:t>1、工作时间：5天/周，8小时/天</w:t>
      </w:r>
    </w:p>
    <w:p>
      <w:pPr>
        <w:rPr>
          <w:rFonts w:hint="eastAsia"/>
          <w:lang w:val="en-US" w:eastAsia="zh-CN"/>
        </w:rPr>
      </w:pPr>
      <w:r>
        <w:rPr>
          <w:rFonts w:hint="eastAsia"/>
          <w:lang w:val="en-US" w:eastAsia="zh-CN"/>
        </w:rPr>
        <w:t>2、保险：五险一金</w:t>
      </w:r>
    </w:p>
    <w:p>
      <w:pPr>
        <w:rPr>
          <w:rFonts w:hint="eastAsia"/>
          <w:lang w:val="en-US" w:eastAsia="zh-CN"/>
        </w:rPr>
      </w:pPr>
      <w:r>
        <w:rPr>
          <w:rFonts w:hint="eastAsia"/>
          <w:lang w:val="en-US" w:eastAsia="zh-CN"/>
        </w:rPr>
        <w:t>3、就餐：午餐补贴330元/月，下午茶补贴10元/天</w:t>
      </w:r>
    </w:p>
    <w:p>
      <w:pPr>
        <w:rPr>
          <w:rFonts w:hint="eastAsia"/>
          <w:lang w:val="en-US" w:eastAsia="zh-CN"/>
        </w:rPr>
      </w:pPr>
      <w:r>
        <w:rPr>
          <w:rFonts w:hint="eastAsia"/>
          <w:lang w:val="en-US" w:eastAsia="zh-CN"/>
        </w:rPr>
        <w:t>4、旅游：公司或部门自定目的地旅行</w:t>
      </w:r>
    </w:p>
    <w:p>
      <w:pPr>
        <w:rPr>
          <w:rFonts w:hint="eastAsia"/>
          <w:lang w:val="en-US" w:eastAsia="zh-CN"/>
        </w:rPr>
      </w:pPr>
      <w:r>
        <w:rPr>
          <w:rFonts w:hint="eastAsia"/>
          <w:lang w:val="en-US" w:eastAsia="zh-CN"/>
        </w:rPr>
        <w:t>5、休假：法定节假日、带薪年休假、婚假、产假、恩恤假等</w:t>
      </w:r>
    </w:p>
    <w:p>
      <w:pPr>
        <w:rPr>
          <w:rFonts w:hint="eastAsia"/>
          <w:lang w:val="en-US" w:eastAsia="zh-CN"/>
        </w:rPr>
      </w:pPr>
      <w:r>
        <w:rPr>
          <w:rFonts w:hint="eastAsia"/>
          <w:lang w:val="en-US" w:eastAsia="zh-CN"/>
        </w:rPr>
        <w:t>6、团队福利：节假日礼品/户外拓展/部门聚会/公司交流会/趣味游园会/部落活动</w:t>
      </w:r>
    </w:p>
    <w:p>
      <w:pPr>
        <w:rPr>
          <w:rFonts w:hint="eastAsia"/>
          <w:lang w:val="en-US" w:eastAsia="zh-CN"/>
        </w:rPr>
      </w:pPr>
      <w:r>
        <w:rPr>
          <w:rFonts w:hint="eastAsia"/>
          <w:lang w:val="en-US" w:eastAsia="zh-CN"/>
        </w:rPr>
        <w:t>7、购房无息贷款：对于符合条件的员工提供购房无息贷款</w:t>
      </w:r>
    </w:p>
    <w:p>
      <w:pPr>
        <w:rPr>
          <w:rFonts w:hint="eastAsia"/>
          <w:lang w:val="en-US" w:eastAsia="zh-CN"/>
        </w:rPr>
      </w:pPr>
      <w:r>
        <w:rPr>
          <w:rFonts w:hint="eastAsia"/>
          <w:lang w:val="en-US" w:eastAsia="zh-CN"/>
        </w:rPr>
        <w:t>8、对于优秀人才进行股权激励</w:t>
      </w:r>
    </w:p>
    <w:p>
      <w:pPr>
        <w:rPr>
          <w:rFonts w:hint="eastAsia"/>
          <w:lang w:val="en-US" w:eastAsia="zh-CN"/>
        </w:rPr>
      </w:pPr>
    </w:p>
    <w:p>
      <w:pPr>
        <w:pStyle w:val="3"/>
        <w:jc w:val="center"/>
        <w:rPr>
          <w:rFonts w:hint="eastAsia"/>
          <w:lang w:val="en-US" w:eastAsia="zh-CN"/>
        </w:rPr>
      </w:pPr>
      <w:r>
        <w:rPr>
          <w:rFonts w:hint="eastAsia"/>
          <w:lang w:val="en-US" w:eastAsia="zh-CN"/>
        </w:rPr>
        <w:t>高校进程</w:t>
      </w:r>
    </w:p>
    <w:p>
      <w:pPr>
        <w:rPr>
          <w:rFonts w:hint="eastAsia"/>
          <w:lang w:val="en-US" w:eastAsia="zh-CN"/>
        </w:rPr>
      </w:pPr>
      <w:r>
        <w:rPr>
          <w:rFonts w:hint="eastAsia"/>
          <w:lang w:val="en-US" w:eastAsia="zh-CN"/>
        </w:rPr>
        <w:t>莅临宣讲会现场的同学将有机会获得精美礼品，并能和投资研究大咖们近距离互动。</w:t>
      </w:r>
    </w:p>
    <w:tbl>
      <w:tblPr>
        <w:tblStyle w:val="7"/>
        <w:tblpPr w:leftFromText="180" w:rightFromText="180" w:vertAnchor="text" w:horzAnchor="page" w:tblpX="1575" w:tblpY="19"/>
        <w:tblOverlap w:val="never"/>
        <w:tblW w:w="9640" w:type="dxa"/>
        <w:tblInd w:w="0" w:type="dxa"/>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
      <w:tblGrid>
        <w:gridCol w:w="728"/>
        <w:gridCol w:w="1317"/>
        <w:gridCol w:w="2072"/>
        <w:gridCol w:w="2291"/>
        <w:gridCol w:w="3232"/>
      </w:tblGrid>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615" w:hRule="atLeast"/>
        </w:trPr>
        <w:tc>
          <w:tcPr>
            <w:tcW w:w="728" w:type="dxa"/>
            <w:tcBorders>
              <w:tl2br w:val="nil"/>
              <w:tr2bl w:val="nil"/>
            </w:tcBorders>
            <w:shd w:val="clear" w:color="000000" w:fill="1F497D"/>
            <w:vAlign w:val="center"/>
          </w:tcPr>
          <w:p>
            <w:pPr>
              <w:widowControl/>
              <w:jc w:val="center"/>
              <w:rPr>
                <w:rFonts w:ascii="微软雅黑" w:hAnsi="微软雅黑" w:eastAsia="微软雅黑" w:cs="宋体"/>
                <w:b/>
                <w:bCs/>
                <w:color w:val="FFFFFF"/>
                <w:kern w:val="0"/>
                <w:sz w:val="22"/>
                <w:szCs w:val="22"/>
              </w:rPr>
            </w:pPr>
            <w:r>
              <w:rPr>
                <w:rFonts w:hint="eastAsia" w:ascii="微软雅黑" w:hAnsi="微软雅黑" w:eastAsia="微软雅黑" w:cs="宋体"/>
                <w:b/>
                <w:bCs/>
                <w:color w:val="FFFFFF"/>
                <w:kern w:val="0"/>
                <w:sz w:val="22"/>
                <w:szCs w:val="22"/>
              </w:rPr>
              <w:t>序号</w:t>
            </w:r>
          </w:p>
        </w:tc>
        <w:tc>
          <w:tcPr>
            <w:tcW w:w="1317" w:type="dxa"/>
            <w:tcBorders>
              <w:tl2br w:val="nil"/>
              <w:tr2bl w:val="nil"/>
            </w:tcBorders>
            <w:shd w:val="clear" w:color="000000" w:fill="1F497D"/>
            <w:vAlign w:val="center"/>
          </w:tcPr>
          <w:p>
            <w:pPr>
              <w:widowControl/>
              <w:jc w:val="center"/>
              <w:rPr>
                <w:rFonts w:ascii="微软雅黑" w:hAnsi="微软雅黑" w:eastAsia="微软雅黑" w:cs="宋体"/>
                <w:b/>
                <w:bCs/>
                <w:color w:val="FFFFFF"/>
                <w:kern w:val="0"/>
                <w:sz w:val="22"/>
                <w:szCs w:val="22"/>
              </w:rPr>
            </w:pPr>
            <w:r>
              <w:rPr>
                <w:rFonts w:hint="eastAsia" w:ascii="微软雅黑" w:hAnsi="微软雅黑" w:eastAsia="微软雅黑" w:cs="宋体"/>
                <w:b/>
                <w:bCs/>
                <w:color w:val="FFFFFF"/>
                <w:kern w:val="0"/>
                <w:sz w:val="22"/>
                <w:szCs w:val="22"/>
              </w:rPr>
              <w:t>城市</w:t>
            </w:r>
          </w:p>
        </w:tc>
        <w:tc>
          <w:tcPr>
            <w:tcW w:w="2072" w:type="dxa"/>
            <w:tcBorders>
              <w:tl2br w:val="nil"/>
              <w:tr2bl w:val="nil"/>
            </w:tcBorders>
            <w:shd w:val="clear" w:color="000000" w:fill="1F497D"/>
            <w:vAlign w:val="center"/>
          </w:tcPr>
          <w:p>
            <w:pPr>
              <w:widowControl/>
              <w:jc w:val="center"/>
              <w:rPr>
                <w:rFonts w:ascii="微软雅黑" w:hAnsi="微软雅黑" w:eastAsia="微软雅黑" w:cs="宋体"/>
                <w:b/>
                <w:bCs/>
                <w:color w:val="FFFFFF"/>
                <w:kern w:val="0"/>
                <w:sz w:val="22"/>
                <w:szCs w:val="22"/>
              </w:rPr>
            </w:pPr>
            <w:r>
              <w:rPr>
                <w:rFonts w:hint="eastAsia" w:ascii="微软雅黑" w:hAnsi="微软雅黑" w:eastAsia="微软雅黑" w:cs="宋体"/>
                <w:b/>
                <w:bCs/>
                <w:color w:val="FFFFFF"/>
                <w:kern w:val="0"/>
                <w:sz w:val="22"/>
                <w:szCs w:val="22"/>
              </w:rPr>
              <w:t>学校</w:t>
            </w:r>
          </w:p>
        </w:tc>
        <w:tc>
          <w:tcPr>
            <w:tcW w:w="2291" w:type="dxa"/>
            <w:tcBorders>
              <w:tl2br w:val="nil"/>
              <w:tr2bl w:val="nil"/>
            </w:tcBorders>
            <w:shd w:val="clear" w:color="000000" w:fill="1F497D"/>
            <w:vAlign w:val="center"/>
          </w:tcPr>
          <w:p>
            <w:pPr>
              <w:widowControl/>
              <w:jc w:val="center"/>
              <w:rPr>
                <w:rFonts w:ascii="微软雅黑" w:hAnsi="微软雅黑" w:eastAsia="微软雅黑" w:cs="宋体"/>
                <w:b/>
                <w:bCs/>
                <w:color w:val="FFFFFF"/>
                <w:kern w:val="0"/>
                <w:sz w:val="22"/>
                <w:szCs w:val="22"/>
              </w:rPr>
            </w:pPr>
            <w:r>
              <w:rPr>
                <w:rFonts w:hint="eastAsia" w:ascii="微软雅黑" w:hAnsi="微软雅黑" w:eastAsia="微软雅黑" w:cs="宋体"/>
                <w:b/>
                <w:bCs/>
                <w:color w:val="FFFFFF"/>
                <w:kern w:val="0"/>
                <w:sz w:val="22"/>
                <w:szCs w:val="22"/>
                <w:lang w:eastAsia="zh-CN"/>
              </w:rPr>
              <w:t>宣讲</w:t>
            </w:r>
            <w:r>
              <w:rPr>
                <w:rFonts w:hint="eastAsia" w:ascii="微软雅黑" w:hAnsi="微软雅黑" w:eastAsia="微软雅黑" w:cs="宋体"/>
                <w:b/>
                <w:bCs/>
                <w:color w:val="FFFFFF"/>
                <w:kern w:val="0"/>
                <w:sz w:val="22"/>
                <w:szCs w:val="22"/>
              </w:rPr>
              <w:t>日期</w:t>
            </w:r>
          </w:p>
        </w:tc>
        <w:tc>
          <w:tcPr>
            <w:tcW w:w="3232" w:type="dxa"/>
            <w:tcBorders>
              <w:tl2br w:val="nil"/>
              <w:tr2bl w:val="nil"/>
            </w:tcBorders>
            <w:shd w:val="clear" w:color="000000" w:fill="1F497D"/>
            <w:vAlign w:val="center"/>
          </w:tcPr>
          <w:p>
            <w:pPr>
              <w:widowControl/>
              <w:jc w:val="center"/>
              <w:rPr>
                <w:rFonts w:hint="eastAsia" w:ascii="微软雅黑" w:hAnsi="微软雅黑" w:eastAsia="微软雅黑" w:cs="宋体"/>
                <w:b/>
                <w:bCs/>
                <w:color w:val="FFFFFF"/>
                <w:kern w:val="0"/>
                <w:sz w:val="22"/>
                <w:szCs w:val="22"/>
                <w:lang w:eastAsia="zh-CN"/>
              </w:rPr>
            </w:pPr>
            <w:r>
              <w:rPr>
                <w:rFonts w:hint="eastAsia" w:ascii="微软雅黑" w:hAnsi="微软雅黑" w:eastAsia="微软雅黑" w:cs="宋体"/>
                <w:b/>
                <w:bCs/>
                <w:color w:val="FFFFFF"/>
                <w:kern w:val="0"/>
                <w:sz w:val="22"/>
                <w:szCs w:val="22"/>
                <w:lang w:eastAsia="zh-CN"/>
              </w:rPr>
              <w:t>地点</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w:t>
            </w:r>
          </w:p>
        </w:tc>
        <w:tc>
          <w:tcPr>
            <w:tcW w:w="1317" w:type="dxa"/>
            <w:vMerge w:val="restart"/>
            <w:tcBorders>
              <w:tl2br w:val="nil"/>
              <w:tr2bl w:val="nil"/>
            </w:tcBorders>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武汉</w:t>
            </w: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武汉大学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10月14日19:00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君宜王朝大饭店六楼绿岛厅</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2</w:t>
            </w:r>
          </w:p>
        </w:tc>
        <w:tc>
          <w:tcPr>
            <w:tcW w:w="1317" w:type="dxa"/>
            <w:vMerge w:val="continue"/>
            <w:tcBorders>
              <w:tl2br w:val="nil"/>
              <w:tr2bl w:val="nil"/>
            </w:tcBorders>
            <w:vAlign w:val="center"/>
          </w:tcPr>
          <w:p>
            <w:pPr>
              <w:widowControl/>
              <w:jc w:val="center"/>
              <w:rPr>
                <w:rFonts w:hint="eastAsia" w:ascii="微软雅黑" w:hAnsi="微软雅黑" w:eastAsia="微软雅黑" w:cs="宋体"/>
                <w:color w:val="000000"/>
                <w:kern w:val="0"/>
                <w:sz w:val="22"/>
                <w:szCs w:val="22"/>
                <w:lang w:eastAsia="zh-CN"/>
              </w:rPr>
            </w:pP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中南财经政法大学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10月16日19:00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电教室101室</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3</w:t>
            </w:r>
          </w:p>
        </w:tc>
        <w:tc>
          <w:tcPr>
            <w:tcW w:w="1317" w:type="dxa"/>
            <w:vMerge w:val="restart"/>
            <w:tcBorders>
              <w:tl2br w:val="nil"/>
              <w:tr2bl w:val="nil"/>
            </w:tcBorders>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上海</w:t>
            </w: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上海财经大学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10月20日19:00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学生活动中心A208室</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val="en-US" w:eastAsia="zh-CN"/>
              </w:rPr>
              <w:t>4</w:t>
            </w:r>
          </w:p>
        </w:tc>
        <w:tc>
          <w:tcPr>
            <w:tcW w:w="1317" w:type="dxa"/>
            <w:vMerge w:val="continue"/>
            <w:tcBorders>
              <w:tl2br w:val="nil"/>
              <w:tr2bl w:val="nil"/>
            </w:tcBorders>
            <w:vAlign w:val="center"/>
          </w:tcPr>
          <w:p>
            <w:pPr>
              <w:widowControl/>
              <w:jc w:val="left"/>
              <w:rPr>
                <w:rFonts w:ascii="微软雅黑" w:hAnsi="微软雅黑" w:eastAsia="微软雅黑" w:cs="宋体"/>
                <w:color w:val="000000"/>
                <w:kern w:val="0"/>
                <w:sz w:val="22"/>
                <w:szCs w:val="22"/>
              </w:rPr>
            </w:pP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复旦大学</w:t>
            </w:r>
          </w:p>
        </w:tc>
        <w:tc>
          <w:tcPr>
            <w:tcW w:w="2291" w:type="dxa"/>
            <w:tcBorders>
              <w:tl2br w:val="nil"/>
              <w:tr2bl w:val="nil"/>
            </w:tcBorders>
            <w:shd w:val="clear" w:color="auto" w:fill="auto"/>
            <w:vAlign w:val="center"/>
          </w:tcPr>
          <w:p>
            <w:pPr>
              <w:widowControl/>
              <w:jc w:val="center"/>
              <w:rPr>
                <w:rFonts w:ascii="微软雅黑" w:hAnsi="微软雅黑" w:eastAsia="微软雅黑" w:cs="宋体"/>
                <w:color w:val="000000"/>
                <w:kern w:val="0"/>
                <w:sz w:val="22"/>
                <w:szCs w:val="22"/>
              </w:rPr>
            </w:pPr>
            <w:r>
              <w:rPr>
                <w:rFonts w:hint="eastAsia" w:ascii="微软雅黑" w:hAnsi="微软雅黑" w:eastAsia="微软雅黑" w:cs="宋体"/>
                <w:color w:val="000000"/>
                <w:kern w:val="0"/>
                <w:sz w:val="22"/>
                <w:szCs w:val="22"/>
              </w:rPr>
              <w:t>10月2</w:t>
            </w:r>
            <w:r>
              <w:rPr>
                <w:rFonts w:hint="eastAsia" w:ascii="微软雅黑" w:hAnsi="微软雅黑" w:eastAsia="微软雅黑" w:cs="宋体"/>
                <w:color w:val="000000"/>
                <w:kern w:val="0"/>
                <w:sz w:val="22"/>
                <w:szCs w:val="22"/>
                <w:lang w:val="en-US" w:eastAsia="zh-CN"/>
              </w:rPr>
              <w:t>1</w:t>
            </w:r>
            <w:r>
              <w:rPr>
                <w:rFonts w:hint="eastAsia" w:ascii="微软雅黑" w:hAnsi="微软雅黑" w:eastAsia="微软雅黑" w:cs="宋体"/>
                <w:color w:val="000000"/>
                <w:kern w:val="0"/>
                <w:sz w:val="22"/>
                <w:szCs w:val="22"/>
              </w:rPr>
              <w:t>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rPr>
            </w:pPr>
            <w:r>
              <w:rPr>
                <w:rFonts w:hint="eastAsia" w:ascii="微软雅黑" w:hAnsi="微软雅黑" w:eastAsia="微软雅黑" w:cs="宋体"/>
                <w:color w:val="000000"/>
                <w:kern w:val="0"/>
                <w:sz w:val="22"/>
                <w:szCs w:val="22"/>
              </w:rPr>
              <w:t>叶耀珍楼202</w:t>
            </w:r>
            <w:r>
              <w:rPr>
                <w:rFonts w:hint="eastAsia" w:ascii="微软雅黑" w:hAnsi="微软雅黑" w:eastAsia="微软雅黑" w:cs="宋体"/>
                <w:color w:val="000000"/>
                <w:kern w:val="0"/>
                <w:sz w:val="22"/>
                <w:szCs w:val="22"/>
                <w:lang w:eastAsia="zh-CN"/>
              </w:rPr>
              <w:t>室</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val="en-US" w:eastAsia="zh-CN"/>
              </w:rPr>
              <w:t>5</w:t>
            </w:r>
          </w:p>
        </w:tc>
        <w:tc>
          <w:tcPr>
            <w:tcW w:w="1317" w:type="dxa"/>
            <w:vMerge w:val="restart"/>
            <w:tcBorders>
              <w:tl2br w:val="nil"/>
              <w:tr2bl w:val="nil"/>
            </w:tcBorders>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北京</w:t>
            </w: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北京大学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10月24日19:00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新太阳学生中心212室</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val="en-US" w:eastAsia="zh-CN"/>
              </w:rPr>
              <w:t>6</w:t>
            </w:r>
          </w:p>
        </w:tc>
        <w:tc>
          <w:tcPr>
            <w:tcW w:w="1317" w:type="dxa"/>
            <w:vMerge w:val="continue"/>
            <w:tcBorders>
              <w:tl2br w:val="nil"/>
              <w:tr2bl w:val="nil"/>
            </w:tcBorders>
            <w:vAlign w:val="center"/>
          </w:tcPr>
          <w:p>
            <w:pPr>
              <w:jc w:val="center"/>
              <w:rPr>
                <w:rFonts w:ascii="微软雅黑" w:hAnsi="微软雅黑" w:eastAsia="微软雅黑" w:cs="宋体"/>
                <w:color w:val="000000"/>
                <w:kern w:val="0"/>
                <w:sz w:val="22"/>
                <w:szCs w:val="22"/>
              </w:rPr>
            </w:pP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清华大学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10月25日19:00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地点待定</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7</w:t>
            </w:r>
          </w:p>
        </w:tc>
        <w:tc>
          <w:tcPr>
            <w:tcW w:w="1317" w:type="dxa"/>
            <w:tcBorders>
              <w:tl2br w:val="nil"/>
              <w:tr2bl w:val="nil"/>
            </w:tcBorders>
            <w:vAlign w:val="center"/>
          </w:tcPr>
          <w:p>
            <w:pPr>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杭州</w:t>
            </w: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浙江大学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10月28日19:00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永谦学生活动中心第一报告厅</w:t>
            </w:r>
          </w:p>
        </w:tc>
      </w:tr>
      <w:tr>
        <w:tblPrEx>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ayout w:type="fixed"/>
          <w:tblCellMar>
            <w:top w:w="0" w:type="dxa"/>
            <w:left w:w="108" w:type="dxa"/>
            <w:bottom w:w="0" w:type="dxa"/>
            <w:right w:w="108" w:type="dxa"/>
          </w:tblCellMar>
        </w:tblPrEx>
        <w:trPr>
          <w:trHeight w:val="270" w:hRule="atLeast"/>
        </w:trPr>
        <w:tc>
          <w:tcPr>
            <w:tcW w:w="728"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8</w:t>
            </w:r>
          </w:p>
        </w:tc>
        <w:tc>
          <w:tcPr>
            <w:tcW w:w="1317" w:type="dxa"/>
            <w:tcBorders>
              <w:tl2br w:val="nil"/>
              <w:tr2bl w:val="nil"/>
            </w:tcBorders>
            <w:vAlign w:val="center"/>
          </w:tcPr>
          <w:p>
            <w:pPr>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成都</w:t>
            </w:r>
          </w:p>
        </w:tc>
        <w:tc>
          <w:tcPr>
            <w:tcW w:w="207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eastAsia="zh-CN"/>
              </w:rPr>
            </w:pPr>
            <w:r>
              <w:rPr>
                <w:rFonts w:hint="eastAsia" w:ascii="微软雅黑" w:hAnsi="微软雅黑" w:eastAsia="微软雅黑" w:cs="宋体"/>
                <w:color w:val="000000"/>
                <w:kern w:val="0"/>
                <w:sz w:val="22"/>
                <w:szCs w:val="22"/>
                <w:lang w:eastAsia="zh-CN"/>
              </w:rPr>
              <w:t>四川大学</w:t>
            </w:r>
          </w:p>
        </w:tc>
        <w:tc>
          <w:tcPr>
            <w:tcW w:w="2291"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11月10日 18:30</w:t>
            </w:r>
          </w:p>
        </w:tc>
        <w:tc>
          <w:tcPr>
            <w:tcW w:w="3232" w:type="dxa"/>
            <w:tcBorders>
              <w:tl2br w:val="nil"/>
              <w:tr2bl w:val="nil"/>
            </w:tcBorders>
            <w:shd w:val="clear" w:color="auto" w:fill="auto"/>
            <w:vAlign w:val="center"/>
          </w:tcPr>
          <w:p>
            <w:pPr>
              <w:widowControl/>
              <w:jc w:val="center"/>
              <w:rPr>
                <w:rFonts w:hint="eastAsia" w:ascii="微软雅黑" w:hAnsi="微软雅黑" w:eastAsia="微软雅黑" w:cs="宋体"/>
                <w:color w:val="000000"/>
                <w:kern w:val="0"/>
                <w:sz w:val="22"/>
                <w:szCs w:val="22"/>
                <w:lang w:val="en-US" w:eastAsia="zh-CN"/>
              </w:rPr>
            </w:pPr>
            <w:r>
              <w:rPr>
                <w:rFonts w:hint="eastAsia" w:ascii="微软雅黑" w:hAnsi="微软雅黑" w:eastAsia="微软雅黑" w:cs="宋体"/>
                <w:color w:val="000000"/>
                <w:kern w:val="0"/>
                <w:sz w:val="22"/>
                <w:szCs w:val="22"/>
                <w:lang w:val="en-US" w:eastAsia="zh-CN"/>
              </w:rPr>
              <w:t>望江校区就业指导中心209室</w:t>
            </w:r>
            <w:bookmarkStart w:id="0" w:name="_GoBack"/>
            <w:bookmarkEnd w:id="0"/>
          </w:p>
        </w:tc>
      </w:tr>
    </w:tbl>
    <w:p>
      <w:pPr>
        <w:rPr>
          <w:rFonts w:hint="eastAsia"/>
          <w:lang w:val="en-US" w:eastAsia="zh-CN"/>
        </w:rPr>
      </w:pPr>
    </w:p>
    <w:p>
      <w:pPr>
        <w:pStyle w:val="3"/>
        <w:jc w:val="center"/>
        <w:rPr>
          <w:rFonts w:hint="eastAsia"/>
          <w:lang w:val="en-US" w:eastAsia="zh-CN"/>
        </w:rPr>
      </w:pPr>
      <w:r>
        <w:rPr>
          <w:rFonts w:hint="eastAsia"/>
          <w:lang w:val="en-US" w:eastAsia="zh-CN"/>
        </w:rPr>
        <w:t>官方渠道</w:t>
      </w:r>
    </w:p>
    <w:p>
      <w:pPr>
        <w:rPr>
          <w:rFonts w:hint="eastAsia"/>
          <w:lang w:val="en-US" w:eastAsia="zh-CN"/>
        </w:rPr>
      </w:pPr>
      <w:r>
        <w:rPr>
          <w:rFonts w:hint="eastAsia"/>
          <w:lang w:val="en-US" w:eastAsia="zh-CN"/>
        </w:rPr>
        <w:t>公司定于10月中旬开始进行校园宣讲，具体宣讲时间、地点、岗位信息请随时关注以下渠道：</w:t>
      </w:r>
    </w:p>
    <w:p>
      <w:pPr>
        <w:numPr>
          <w:ilvl w:val="0"/>
          <w:numId w:val="1"/>
        </w:numPr>
        <w:rPr>
          <w:rFonts w:hint="eastAsia"/>
          <w:lang w:val="en-US" w:eastAsia="zh-CN"/>
        </w:rPr>
      </w:pPr>
      <w:r>
        <w:rPr>
          <w:rFonts w:hint="eastAsia"/>
          <w:lang w:val="en-US" w:eastAsia="zh-CN"/>
        </w:rPr>
        <w:t>微信公众：搜索“远大物产”</w:t>
      </w:r>
    </w:p>
    <w:p>
      <w:pPr>
        <w:numPr>
          <w:ilvl w:val="0"/>
          <w:numId w:val="0"/>
        </w:numPr>
        <w:rPr>
          <w:rFonts w:hint="eastAsia"/>
          <w:lang w:val="en-US" w:eastAsia="zh-CN"/>
        </w:rPr>
      </w:pPr>
      <w:r>
        <w:rPr>
          <w:rFonts w:hint="eastAsia"/>
          <w:lang w:val="en-US" w:eastAsia="zh-CN"/>
        </w:rPr>
        <w:drawing>
          <wp:inline distT="0" distB="0" distL="114300" distR="114300">
            <wp:extent cx="2457450" cy="2457450"/>
            <wp:effectExtent l="0" t="0" r="0" b="0"/>
            <wp:docPr id="1" name="图片 1" descr="微信平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平台"/>
                    <pic:cNvPicPr>
                      <a:picLocks noChangeAspect="1"/>
                    </pic:cNvPicPr>
                  </pic:nvPicPr>
                  <pic:blipFill>
                    <a:blip r:embed="rId4"/>
                    <a:stretch>
                      <a:fillRect/>
                    </a:stretch>
                  </pic:blipFill>
                  <pic:spPr>
                    <a:xfrm>
                      <a:off x="0" y="0"/>
                      <a:ext cx="2457450" cy="2457450"/>
                    </a:xfrm>
                    <a:prstGeom prst="rect">
                      <a:avLst/>
                    </a:prstGeom>
                  </pic:spPr>
                </pic:pic>
              </a:graphicData>
            </a:graphic>
          </wp:inline>
        </w:drawing>
      </w:r>
    </w:p>
    <w:p>
      <w:pPr>
        <w:rPr>
          <w:rFonts w:hint="eastAsia"/>
          <w:lang w:val="en-US" w:eastAsia="zh-CN"/>
        </w:rPr>
      </w:pPr>
      <w:r>
        <w:rPr>
          <w:rFonts w:hint="eastAsia"/>
          <w:lang w:val="en-US" w:eastAsia="zh-CN"/>
        </w:rPr>
        <w:t>2. 相关高校就业信息网站</w:t>
      </w:r>
    </w:p>
    <w:p>
      <w:pPr>
        <w:rPr>
          <w:rFonts w:hint="eastAsia"/>
          <w:lang w:val="en-US" w:eastAsia="zh-CN"/>
        </w:rPr>
      </w:pPr>
      <w:r>
        <w:rPr>
          <w:rFonts w:hint="eastAsia"/>
          <w:lang w:val="en-US" w:eastAsia="zh-CN"/>
        </w:rPr>
        <w:t>3. 智联招聘公司主页面：</w:t>
      </w:r>
      <w:r>
        <w:rPr>
          <w:rFonts w:hint="eastAsia"/>
          <w:lang w:val="en-US" w:eastAsia="zh-CN"/>
        </w:rPr>
        <w:fldChar w:fldCharType="begin"/>
      </w:r>
      <w:r>
        <w:rPr>
          <w:rFonts w:hint="eastAsia"/>
          <w:lang w:val="en-US" w:eastAsia="zh-CN"/>
        </w:rPr>
        <w:instrText xml:space="preserve"> HYPERLINK "http://company.zhaopin.com/P2/CC1402/1761/CC140217619.htm" </w:instrText>
      </w:r>
      <w:r>
        <w:rPr>
          <w:rFonts w:hint="eastAsia"/>
          <w:lang w:val="en-US" w:eastAsia="zh-CN"/>
        </w:rPr>
        <w:fldChar w:fldCharType="separate"/>
      </w:r>
      <w:r>
        <w:rPr>
          <w:rStyle w:val="6"/>
          <w:rFonts w:hint="eastAsia"/>
          <w:lang w:val="en-US" w:eastAsia="zh-CN"/>
        </w:rPr>
        <w:t>http://company.zhaopin.com/P2/CC1402/1761/CC140217619.htm</w:t>
      </w:r>
      <w:r>
        <w:rPr>
          <w:rFonts w:hint="eastAsia"/>
          <w:lang w:val="en-US" w:eastAsia="zh-CN"/>
        </w:rPr>
        <w:fldChar w:fldCharType="end"/>
      </w:r>
    </w:p>
    <w:p>
      <w:pPr>
        <w:rPr>
          <w:rFonts w:hint="eastAsia"/>
          <w:lang w:val="en-US" w:eastAsia="zh-CN"/>
        </w:rPr>
      </w:pPr>
    </w:p>
    <w:p>
      <w:pPr>
        <w:rPr>
          <w:rFonts w:hint="eastAsia"/>
          <w:lang w:val="en-US" w:eastAsia="zh-CN"/>
        </w:rPr>
      </w:pPr>
    </w:p>
    <w:p>
      <w:pPr>
        <w:pStyle w:val="3"/>
        <w:jc w:val="center"/>
        <w:rPr>
          <w:rFonts w:hint="eastAsia"/>
          <w:lang w:val="en-US" w:eastAsia="zh-CN"/>
        </w:rPr>
      </w:pPr>
      <w:r>
        <w:rPr>
          <w:rFonts w:hint="eastAsia"/>
          <w:lang w:val="en-US" w:eastAsia="zh-CN"/>
        </w:rPr>
        <w:t>职位目录</w:t>
      </w:r>
    </w:p>
    <w:p>
      <w:pPr>
        <w:pStyle w:val="3"/>
        <w:rPr>
          <w:rFonts w:hint="eastAsia"/>
          <w:lang w:val="en-US" w:eastAsia="zh-CN"/>
        </w:rPr>
      </w:pPr>
      <w:r>
        <w:rPr>
          <w:rFonts w:hint="eastAsia"/>
          <w:lang w:val="en-US" w:eastAsia="zh-CN"/>
        </w:rPr>
        <w:t>集团本部研投中心</w:t>
      </w:r>
    </w:p>
    <w:tbl>
      <w:tblPr>
        <w:tblStyle w:val="7"/>
        <w:tblW w:w="9280" w:type="dxa"/>
        <w:tblInd w:w="0" w:type="dxa"/>
        <w:tblLayout w:type="fixed"/>
        <w:tblCellMar>
          <w:top w:w="0" w:type="dxa"/>
          <w:left w:w="108" w:type="dxa"/>
          <w:bottom w:w="0" w:type="dxa"/>
          <w:right w:w="108" w:type="dxa"/>
        </w:tblCellMar>
      </w:tblPr>
      <w:tblGrid>
        <w:gridCol w:w="468"/>
        <w:gridCol w:w="2307"/>
        <w:gridCol w:w="2578"/>
        <w:gridCol w:w="2577"/>
        <w:gridCol w:w="1350"/>
      </w:tblGrid>
      <w:tr>
        <w:tblPrEx>
          <w:tblLayout w:type="fixed"/>
          <w:tblCellMar>
            <w:top w:w="0" w:type="dxa"/>
            <w:left w:w="108" w:type="dxa"/>
            <w:bottom w:w="0" w:type="dxa"/>
            <w:right w:w="108" w:type="dxa"/>
          </w:tblCellMar>
        </w:tblPrEx>
        <w:trPr>
          <w:trHeight w:val="435" w:hRule="atLeast"/>
        </w:trPr>
        <w:tc>
          <w:tcPr>
            <w:tcW w:w="46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2307"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57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577"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1350"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360" w:hRule="atLeast"/>
        </w:trPr>
        <w:tc>
          <w:tcPr>
            <w:tcW w:w="468" w:type="dxa"/>
            <w:tcBorders>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1</w:t>
            </w:r>
          </w:p>
        </w:tc>
        <w:tc>
          <w:tcPr>
            <w:tcW w:w="2307" w:type="dxa"/>
            <w:tcBorders>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rPr>
            </w:pPr>
            <w:r>
              <w:rPr>
                <w:rFonts w:hint="eastAsia" w:ascii="微软雅黑" w:hAnsi="微软雅黑" w:eastAsia="微软雅黑"/>
                <w:sz w:val="24"/>
                <w:szCs w:val="24"/>
              </w:rPr>
              <w:t>宏观</w:t>
            </w:r>
          </w:p>
          <w:p>
            <w:pPr>
              <w:jc w:val="center"/>
              <w:rPr>
                <w:rFonts w:ascii="微软雅黑" w:hAnsi="微软雅黑" w:eastAsia="微软雅黑"/>
                <w:sz w:val="24"/>
                <w:szCs w:val="24"/>
              </w:rPr>
            </w:pPr>
            <w:r>
              <w:rPr>
                <w:rFonts w:hint="eastAsia" w:ascii="微软雅黑" w:hAnsi="微软雅黑" w:eastAsia="微软雅黑"/>
                <w:sz w:val="24"/>
                <w:szCs w:val="24"/>
              </w:rPr>
              <w:t>研究员</w:t>
            </w:r>
          </w:p>
        </w:tc>
        <w:tc>
          <w:tcPr>
            <w:tcW w:w="2578"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经济、金融、财务专业优先</w:t>
            </w:r>
          </w:p>
        </w:tc>
        <w:tc>
          <w:tcPr>
            <w:tcW w:w="2577"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restart"/>
            <w:tcBorders>
              <w:top w:val="single" w:color="4F81BD" w:sz="8" w:space="0"/>
              <w:left w:val="single" w:color="4F81BD" w:sz="8" w:space="0"/>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上海</w:t>
            </w:r>
          </w:p>
        </w:tc>
      </w:tr>
      <w:tr>
        <w:tblPrEx>
          <w:tblLayout w:type="fixed"/>
          <w:tblCellMar>
            <w:top w:w="0" w:type="dxa"/>
            <w:left w:w="108" w:type="dxa"/>
            <w:bottom w:w="0" w:type="dxa"/>
            <w:right w:w="108" w:type="dxa"/>
          </w:tblCellMar>
        </w:tblPrEx>
        <w:trPr>
          <w:trHeight w:val="360" w:hRule="atLeast"/>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2</w:t>
            </w:r>
          </w:p>
        </w:tc>
        <w:tc>
          <w:tcPr>
            <w:tcW w:w="2307"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农产品</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现货业务员</w:t>
            </w:r>
          </w:p>
        </w:tc>
        <w:tc>
          <w:tcPr>
            <w:tcW w:w="2578" w:type="dxa"/>
            <w:tcBorders>
              <w:top w:val="nil"/>
              <w:left w:val="nil"/>
              <w:bottom w:val="single" w:color="4F81BD" w:sz="8" w:space="0"/>
              <w:right w:val="single" w:color="4F81BD" w:sz="8" w:space="0"/>
            </w:tcBorders>
            <w:shd w:val="clear" w:color="000000" w:fill="FFFFFF"/>
            <w:vAlign w:val="top"/>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无</w:t>
            </w:r>
          </w:p>
        </w:tc>
        <w:tc>
          <w:tcPr>
            <w:tcW w:w="2577" w:type="dxa"/>
            <w:tcBorders>
              <w:top w:val="nil"/>
              <w:left w:val="nil"/>
              <w:bottom w:val="single" w:color="4F81BD" w:sz="8" w:space="0"/>
              <w:right w:val="single" w:color="4F81BD" w:sz="8" w:space="0"/>
            </w:tcBorders>
            <w:shd w:val="clear" w:color="000000" w:fill="FFFFFF"/>
            <w:vAlign w:val="top"/>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continue"/>
            <w:tcBorders>
              <w:left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3</w:t>
            </w:r>
          </w:p>
        </w:tc>
        <w:tc>
          <w:tcPr>
            <w:tcW w:w="2307"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农产品</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交易员</w:t>
            </w:r>
          </w:p>
        </w:tc>
        <w:tc>
          <w:tcPr>
            <w:tcW w:w="2578"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金融、数学统计等专业优先</w:t>
            </w:r>
          </w:p>
        </w:tc>
        <w:tc>
          <w:tcPr>
            <w:tcW w:w="2577"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continue"/>
            <w:tcBorders>
              <w:left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4</w:t>
            </w:r>
          </w:p>
        </w:tc>
        <w:tc>
          <w:tcPr>
            <w:tcW w:w="2307"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能源化工</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交易员</w:t>
            </w:r>
          </w:p>
        </w:tc>
        <w:tc>
          <w:tcPr>
            <w:tcW w:w="2578"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金融、数学统计等专业优先</w:t>
            </w:r>
          </w:p>
        </w:tc>
        <w:tc>
          <w:tcPr>
            <w:tcW w:w="2577"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continue"/>
            <w:tcBorders>
              <w:left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5</w:t>
            </w:r>
          </w:p>
        </w:tc>
        <w:tc>
          <w:tcPr>
            <w:tcW w:w="2307"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量化</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研究员</w:t>
            </w:r>
          </w:p>
        </w:tc>
        <w:tc>
          <w:tcPr>
            <w:tcW w:w="2578"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金融、数学统计等专业优先</w:t>
            </w:r>
          </w:p>
        </w:tc>
        <w:tc>
          <w:tcPr>
            <w:tcW w:w="2577"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continue"/>
            <w:tcBorders>
              <w:left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6</w:t>
            </w:r>
          </w:p>
        </w:tc>
        <w:tc>
          <w:tcPr>
            <w:tcW w:w="2307"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量化</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交易员</w:t>
            </w:r>
          </w:p>
        </w:tc>
        <w:tc>
          <w:tcPr>
            <w:tcW w:w="2578"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金融、数学统计等专业优先</w:t>
            </w:r>
          </w:p>
        </w:tc>
        <w:tc>
          <w:tcPr>
            <w:tcW w:w="2577"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continue"/>
            <w:tcBorders>
              <w:left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7</w:t>
            </w:r>
          </w:p>
        </w:tc>
        <w:tc>
          <w:tcPr>
            <w:tcW w:w="2307"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下单员</w:t>
            </w:r>
          </w:p>
        </w:tc>
        <w:tc>
          <w:tcPr>
            <w:tcW w:w="2578"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经济、金融等专业优先</w:t>
            </w:r>
          </w:p>
        </w:tc>
        <w:tc>
          <w:tcPr>
            <w:tcW w:w="2577"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10-15万/年</w:t>
            </w:r>
          </w:p>
        </w:tc>
        <w:tc>
          <w:tcPr>
            <w:tcW w:w="1350" w:type="dxa"/>
            <w:vMerge w:val="continue"/>
            <w:tcBorders>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7</w:t>
            </w:r>
          </w:p>
        </w:tc>
        <w:tc>
          <w:tcPr>
            <w:tcW w:w="2307"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衍生品</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研究员</w:t>
            </w:r>
          </w:p>
        </w:tc>
        <w:tc>
          <w:tcPr>
            <w:tcW w:w="2578"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金融投资、经济学、数学等专业优先</w:t>
            </w:r>
          </w:p>
        </w:tc>
        <w:tc>
          <w:tcPr>
            <w:tcW w:w="2577"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restart"/>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杭州</w:t>
            </w: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8</w:t>
            </w:r>
          </w:p>
        </w:tc>
        <w:tc>
          <w:tcPr>
            <w:tcW w:w="2307"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衍生品</w:t>
            </w:r>
          </w:p>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交易员</w:t>
            </w:r>
          </w:p>
        </w:tc>
        <w:tc>
          <w:tcPr>
            <w:tcW w:w="2578"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金融投资、经济学等专业优先</w:t>
            </w:r>
          </w:p>
        </w:tc>
        <w:tc>
          <w:tcPr>
            <w:tcW w:w="2577"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10-25</w:t>
            </w:r>
          </w:p>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万/年</w:t>
            </w:r>
          </w:p>
        </w:tc>
        <w:tc>
          <w:tcPr>
            <w:tcW w:w="1350" w:type="dxa"/>
            <w:vMerge w:val="continue"/>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bl>
    <w:p>
      <w:pPr>
        <w:rPr>
          <w:rFonts w:hint="eastAsia"/>
          <w:lang w:val="en-US" w:eastAsia="zh-CN"/>
        </w:rPr>
      </w:pPr>
      <w:r>
        <w:rPr>
          <w:rFonts w:hint="eastAsia"/>
          <w:lang w:val="en-US" w:eastAsia="zh-CN"/>
        </w:rPr>
        <w:t>邮箱投递：hr1@grand-trade.com，请写明：投递岗位名称+工作地点+姓名+学校</w:t>
      </w:r>
    </w:p>
    <w:p>
      <w:pPr>
        <w:rPr>
          <w:rFonts w:hint="eastAsia"/>
          <w:lang w:val="en-US" w:eastAsia="zh-CN"/>
        </w:rPr>
      </w:pPr>
    </w:p>
    <w:p>
      <w:pPr>
        <w:pStyle w:val="3"/>
        <w:rPr>
          <w:rFonts w:hint="eastAsia"/>
          <w:lang w:val="en-US" w:eastAsia="zh-CN"/>
        </w:rPr>
      </w:pPr>
      <w:r>
        <w:rPr>
          <w:rFonts w:hint="eastAsia"/>
          <w:lang w:val="en-US" w:eastAsia="zh-CN"/>
        </w:rPr>
        <w:t>远大石化有限公司</w:t>
      </w:r>
    </w:p>
    <w:p>
      <w:pPr>
        <w:pStyle w:val="4"/>
        <w:rPr>
          <w:rFonts w:hint="eastAsia"/>
          <w:lang w:val="en-US" w:eastAsia="zh-CN"/>
        </w:rPr>
      </w:pPr>
      <w:r>
        <w:rPr>
          <w:rFonts w:hint="eastAsia"/>
          <w:lang w:val="en-US" w:eastAsia="zh-CN"/>
        </w:rPr>
        <w:t>公司简介：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远大石化有限公司是远大集团有限公司的控股子公司，在18年塑料分销的历史沉淀下，现已从传统贸易商转型升级为以现货渠道为基础、以信息研究为核心、以投资交易为价值实现途径的石化产业链管理商，2015年销售规模达415万吨。</w:t>
      </w:r>
    </w:p>
    <w:p>
      <w:pPr>
        <w:rPr>
          <w:rFonts w:hint="eastAsia"/>
          <w:lang w:val="en-US" w:eastAsia="zh-CN"/>
        </w:rPr>
      </w:pPr>
      <w:r>
        <w:rPr>
          <w:rStyle w:val="8"/>
          <w:rFonts w:hint="eastAsia"/>
          <w:lang w:val="en-US" w:eastAsia="zh-CN"/>
        </w:rPr>
        <w:t>主营业务：</w:t>
      </w:r>
      <w:r>
        <w:rPr>
          <w:rFonts w:hint="eastAsia"/>
          <w:lang w:val="en-US" w:eastAsia="zh-CN"/>
        </w:rPr>
        <w:t>石油衍生品包括PS/PE/PP/SM/PTA/MEG/BTX/SBS/ABS/PVC/甲醇/聚醚等</w:t>
      </w:r>
    </w:p>
    <w:p>
      <w:pPr>
        <w:rPr>
          <w:rFonts w:hint="eastAsia"/>
          <w:lang w:val="en-US" w:eastAsia="zh-CN"/>
        </w:rPr>
      </w:pPr>
    </w:p>
    <w:tbl>
      <w:tblPr>
        <w:tblStyle w:val="7"/>
        <w:tblW w:w="8522" w:type="dxa"/>
        <w:jc w:val="center"/>
        <w:tblInd w:w="0" w:type="dxa"/>
        <w:tblLayout w:type="fixed"/>
        <w:tblCellMar>
          <w:top w:w="0" w:type="dxa"/>
          <w:left w:w="108" w:type="dxa"/>
          <w:bottom w:w="0" w:type="dxa"/>
          <w:right w:w="108" w:type="dxa"/>
        </w:tblCellMar>
      </w:tblPr>
      <w:tblGrid>
        <w:gridCol w:w="468"/>
        <w:gridCol w:w="1728"/>
        <w:gridCol w:w="2664"/>
        <w:gridCol w:w="2664"/>
        <w:gridCol w:w="998"/>
      </w:tblGrid>
      <w:tr>
        <w:tblPrEx>
          <w:tblLayout w:type="fixed"/>
          <w:tblCellMar>
            <w:top w:w="0" w:type="dxa"/>
            <w:left w:w="108" w:type="dxa"/>
            <w:bottom w:w="0" w:type="dxa"/>
            <w:right w:w="108" w:type="dxa"/>
          </w:tblCellMar>
        </w:tblPrEx>
        <w:trPr>
          <w:trHeight w:val="435" w:hRule="atLeast"/>
          <w:jc w:val="center"/>
        </w:trPr>
        <w:tc>
          <w:tcPr>
            <w:tcW w:w="46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172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664"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664"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99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360" w:hRule="atLeast"/>
          <w:jc w:val="center"/>
        </w:trPr>
        <w:tc>
          <w:tcPr>
            <w:tcW w:w="468" w:type="dxa"/>
            <w:tcBorders>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1</w:t>
            </w:r>
          </w:p>
        </w:tc>
        <w:tc>
          <w:tcPr>
            <w:tcW w:w="1728" w:type="dxa"/>
            <w:tcBorders>
              <w:left w:val="nil"/>
              <w:bottom w:val="single" w:color="4F81BD" w:sz="8" w:space="0"/>
              <w:right w:val="single" w:color="4F81BD" w:sz="8" w:space="0"/>
            </w:tcBorders>
            <w:shd w:val="clear" w:color="000000" w:fill="FFFFFF"/>
            <w:vAlign w:val="center"/>
          </w:tcPr>
          <w:p>
            <w:pPr>
              <w:jc w:val="center"/>
              <w:rPr>
                <w:rFonts w:ascii="微软雅黑" w:hAnsi="微软雅黑" w:eastAsia="微软雅黑"/>
                <w:sz w:val="24"/>
                <w:szCs w:val="24"/>
              </w:rPr>
            </w:pPr>
            <w:r>
              <w:rPr>
                <w:rFonts w:hint="eastAsia" w:ascii="微软雅黑" w:hAnsi="微软雅黑" w:eastAsia="微软雅黑"/>
                <w:sz w:val="24"/>
                <w:szCs w:val="24"/>
              </w:rPr>
              <w:t>营销员</w:t>
            </w:r>
          </w:p>
        </w:tc>
        <w:tc>
          <w:tcPr>
            <w:tcW w:w="2664"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市场营销、国际经济与贸易、化工类专业优先</w:t>
            </w:r>
          </w:p>
        </w:tc>
        <w:tc>
          <w:tcPr>
            <w:tcW w:w="2664"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12万/年+年终奖</w:t>
            </w:r>
          </w:p>
        </w:tc>
        <w:tc>
          <w:tcPr>
            <w:tcW w:w="998" w:type="dxa"/>
            <w:vMerge w:val="restart"/>
            <w:tcBorders>
              <w:left w:val="nil"/>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宁波</w:t>
            </w:r>
          </w:p>
        </w:tc>
      </w:tr>
      <w:tr>
        <w:tblPrEx>
          <w:tblLayout w:type="fixed"/>
          <w:tblCellMar>
            <w:top w:w="0" w:type="dxa"/>
            <w:left w:w="108" w:type="dxa"/>
            <w:bottom w:w="0" w:type="dxa"/>
            <w:right w:w="108" w:type="dxa"/>
          </w:tblCellMar>
        </w:tblPrEx>
        <w:trPr>
          <w:trHeight w:val="360" w:hRule="atLeast"/>
          <w:jc w:val="center"/>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2</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营销助理</w:t>
            </w:r>
          </w:p>
        </w:tc>
        <w:tc>
          <w:tcPr>
            <w:tcW w:w="2664" w:type="dxa"/>
            <w:tcBorders>
              <w:top w:val="nil"/>
              <w:left w:val="nil"/>
              <w:bottom w:val="single" w:color="4F81BD" w:sz="8" w:space="0"/>
              <w:right w:val="single" w:color="4F81BD" w:sz="8" w:space="0"/>
            </w:tcBorders>
            <w:shd w:val="clear" w:color="000000" w:fill="FFFFFF"/>
            <w:vAlign w:val="top"/>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国际经济与贸易、英语类专业优先</w:t>
            </w:r>
          </w:p>
        </w:tc>
        <w:tc>
          <w:tcPr>
            <w:tcW w:w="2664" w:type="dxa"/>
            <w:tcBorders>
              <w:top w:val="nil"/>
              <w:left w:val="nil"/>
              <w:bottom w:val="single" w:color="4F81BD" w:sz="8" w:space="0"/>
              <w:right w:val="single" w:color="4F81BD" w:sz="8" w:space="0"/>
            </w:tcBorders>
            <w:shd w:val="clear" w:color="000000" w:fill="FFFFFF"/>
            <w:vAlign w:val="top"/>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10万/年+年终奖</w:t>
            </w:r>
          </w:p>
        </w:tc>
        <w:tc>
          <w:tcPr>
            <w:tcW w:w="998" w:type="dxa"/>
            <w:vMerge w:val="continue"/>
            <w:tcBorders>
              <w:left w:val="nil"/>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jc w:val="center"/>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3</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研究员</w:t>
            </w:r>
          </w:p>
        </w:tc>
        <w:tc>
          <w:tcPr>
            <w:tcW w:w="2664"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化工、金融、经济、数学类专业优先</w:t>
            </w:r>
          </w:p>
        </w:tc>
        <w:tc>
          <w:tcPr>
            <w:tcW w:w="2664"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12万/年+年终奖</w:t>
            </w:r>
          </w:p>
        </w:tc>
        <w:tc>
          <w:tcPr>
            <w:tcW w:w="998" w:type="dxa"/>
            <w:vMerge w:val="continue"/>
            <w:tcBorders>
              <w:left w:val="nil"/>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jc w:val="center"/>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4</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调研员</w:t>
            </w:r>
          </w:p>
        </w:tc>
        <w:tc>
          <w:tcPr>
            <w:tcW w:w="2664"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专业不限</w:t>
            </w:r>
          </w:p>
        </w:tc>
        <w:tc>
          <w:tcPr>
            <w:tcW w:w="2664"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12万/年+年终奖</w:t>
            </w:r>
          </w:p>
        </w:tc>
        <w:tc>
          <w:tcPr>
            <w:tcW w:w="998" w:type="dxa"/>
            <w:vMerge w:val="continue"/>
            <w:tcBorders>
              <w:left w:val="nil"/>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jc w:val="center"/>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5</w:t>
            </w:r>
          </w:p>
        </w:tc>
        <w:tc>
          <w:tcPr>
            <w:tcW w:w="1728"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采购专员</w:t>
            </w:r>
          </w:p>
        </w:tc>
        <w:tc>
          <w:tcPr>
            <w:tcW w:w="2664"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英语专业优先</w:t>
            </w:r>
          </w:p>
        </w:tc>
        <w:tc>
          <w:tcPr>
            <w:tcW w:w="2664"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12万/年+年终奖</w:t>
            </w:r>
          </w:p>
        </w:tc>
        <w:tc>
          <w:tcPr>
            <w:tcW w:w="998" w:type="dxa"/>
            <w:vMerge w:val="continue"/>
            <w:tcBorders>
              <w:left w:val="nil"/>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jc w:val="center"/>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6</w:t>
            </w:r>
          </w:p>
        </w:tc>
        <w:tc>
          <w:tcPr>
            <w:tcW w:w="1728"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资金专员</w:t>
            </w:r>
          </w:p>
        </w:tc>
        <w:tc>
          <w:tcPr>
            <w:tcW w:w="2664"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国际经济与贸易、金融、财务类专业优先</w:t>
            </w:r>
          </w:p>
        </w:tc>
        <w:tc>
          <w:tcPr>
            <w:tcW w:w="2664"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10万/年+年终奖</w:t>
            </w:r>
          </w:p>
        </w:tc>
        <w:tc>
          <w:tcPr>
            <w:tcW w:w="998" w:type="dxa"/>
            <w:vMerge w:val="continue"/>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bl>
    <w:p/>
    <w:p>
      <w:r>
        <w:rPr>
          <w:rFonts w:hint="eastAsia"/>
        </w:rPr>
        <w:t>邮箱投递：</w:t>
      </w:r>
      <w:r>
        <w:rPr>
          <w:rFonts w:hint="eastAsia"/>
          <w:lang w:val="en-US" w:eastAsia="zh-CN"/>
        </w:rPr>
        <w:t>chenll</w:t>
      </w:r>
      <w:r>
        <w:rPr>
          <w:rFonts w:hint="eastAsia"/>
        </w:rPr>
        <w:t>@grand-trade.com，请写明：投递岗位名称</w:t>
      </w:r>
      <w:r>
        <w:rPr>
          <w:rFonts w:hint="eastAsia"/>
          <w:lang w:val="en-US" w:eastAsia="zh-CN"/>
        </w:rPr>
        <w:t>+</w:t>
      </w:r>
      <w:r>
        <w:rPr>
          <w:rFonts w:hint="eastAsia"/>
        </w:rPr>
        <w:t>姓名+学校</w:t>
      </w:r>
    </w:p>
    <w:p/>
    <w:p/>
    <w:p>
      <w:pPr>
        <w:pStyle w:val="3"/>
        <w:rPr>
          <w:rFonts w:hint="eastAsia"/>
          <w:lang w:eastAsia="zh-CN"/>
        </w:rPr>
      </w:pPr>
      <w:r>
        <w:rPr>
          <w:rFonts w:hint="eastAsia"/>
          <w:lang w:eastAsia="zh-CN"/>
        </w:rPr>
        <w:t>远大能源化工有限公司</w:t>
      </w:r>
    </w:p>
    <w:p>
      <w:pPr>
        <w:pStyle w:val="4"/>
        <w:rPr>
          <w:rFonts w:hint="eastAsia"/>
          <w:lang w:val="en-US" w:eastAsia="zh-CN"/>
        </w:rPr>
      </w:pPr>
      <w:r>
        <w:rPr>
          <w:rFonts w:hint="eastAsia"/>
          <w:lang w:val="en-US" w:eastAsia="zh-CN"/>
        </w:rPr>
        <w:t>公司简介：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远大能源化工有限公司是远大物产集团有限公司旗下一家主营能源化工产业链上等大宗商品贸易的子公司，在原远大物产集团有限公司液化事业部发展基础上于2015年4月正式成立，在业内从业十几年，具有良好的产业链专业背景和现货贸易渠道，2015年度销售规模达280万吨。</w:t>
      </w:r>
    </w:p>
    <w:p>
      <w:pPr>
        <w:pStyle w:val="4"/>
        <w:keepNext/>
        <w:keepLines/>
        <w:pageBreakBefore w:val="0"/>
        <w:widowControl w:val="0"/>
        <w:kinsoku/>
        <w:wordWrap/>
        <w:overflowPunct/>
        <w:topLinePunct w:val="0"/>
        <w:autoSpaceDE/>
        <w:autoSpaceDN/>
        <w:bidi w:val="0"/>
        <w:adjustRightInd/>
        <w:snapToGrid/>
        <w:spacing w:before="260" w:beforeLines="0" w:after="260" w:afterLines="0" w:line="240" w:lineRule="auto"/>
        <w:ind w:left="0" w:leftChars="0" w:right="0" w:rightChars="0" w:firstLine="0" w:firstLineChars="0"/>
        <w:jc w:val="both"/>
        <w:textAlignment w:val="auto"/>
        <w:outlineLvl w:val="2"/>
        <w:rPr>
          <w:rFonts w:hint="eastAsia"/>
          <w:lang w:val="en-US" w:eastAsia="zh-CN"/>
        </w:rPr>
      </w:pPr>
      <w:r>
        <w:rPr>
          <w:rFonts w:hint="eastAsia"/>
          <w:lang w:val="en-US" w:eastAsia="zh-CN"/>
        </w:rPr>
        <w:t>主营业务：</w:t>
      </w:r>
      <w:r>
        <w:rPr>
          <w:rFonts w:hint="eastAsia" w:asciiTheme="minorHAnsi" w:hAnsiTheme="minorHAnsi" w:eastAsiaTheme="minorEastAsia" w:cstheme="minorBidi"/>
          <w:b w:val="0"/>
          <w:kern w:val="2"/>
          <w:sz w:val="21"/>
          <w:szCs w:val="24"/>
          <w:lang w:val="en-US" w:eastAsia="zh-CN" w:bidi="ar-SA"/>
        </w:rPr>
        <w:t>上游原油、石脑油及油品等基础能化产品，中游烯烃衍生物产业链（乙二醇、苯乙烯、丙酮等），中游芳烃产业链（PX、纯苯、甲苯、二甲苯、苯乙烯等）、两者汇合后的聚酯产业链（PX、乙二醇、PTA）以及从煤化工出发的甲醇及衍生物产业链（甲醇、乙二醇、烯烃等）</w:t>
      </w:r>
    </w:p>
    <w:tbl>
      <w:tblPr>
        <w:tblStyle w:val="7"/>
        <w:tblW w:w="8522" w:type="dxa"/>
        <w:jc w:val="center"/>
        <w:tblInd w:w="0" w:type="dxa"/>
        <w:tblLayout w:type="fixed"/>
        <w:tblCellMar>
          <w:top w:w="0" w:type="dxa"/>
          <w:left w:w="108" w:type="dxa"/>
          <w:bottom w:w="0" w:type="dxa"/>
          <w:right w:w="108" w:type="dxa"/>
        </w:tblCellMar>
      </w:tblPr>
      <w:tblGrid>
        <w:gridCol w:w="468"/>
        <w:gridCol w:w="1728"/>
        <w:gridCol w:w="2664"/>
        <w:gridCol w:w="2664"/>
        <w:gridCol w:w="998"/>
      </w:tblGrid>
      <w:tr>
        <w:tblPrEx>
          <w:tblLayout w:type="fixed"/>
          <w:tblCellMar>
            <w:top w:w="0" w:type="dxa"/>
            <w:left w:w="108" w:type="dxa"/>
            <w:bottom w:w="0" w:type="dxa"/>
            <w:right w:w="108" w:type="dxa"/>
          </w:tblCellMar>
        </w:tblPrEx>
        <w:trPr>
          <w:trHeight w:val="435" w:hRule="atLeast"/>
          <w:jc w:val="center"/>
        </w:trPr>
        <w:tc>
          <w:tcPr>
            <w:tcW w:w="46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172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664"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664"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99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360" w:hRule="atLeast"/>
          <w:jc w:val="center"/>
        </w:trPr>
        <w:tc>
          <w:tcPr>
            <w:tcW w:w="468" w:type="dxa"/>
            <w:tcBorders>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1</w:t>
            </w:r>
          </w:p>
        </w:tc>
        <w:tc>
          <w:tcPr>
            <w:tcW w:w="1728" w:type="dxa"/>
            <w:tcBorders>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现货研究员</w:t>
            </w:r>
          </w:p>
        </w:tc>
        <w:tc>
          <w:tcPr>
            <w:tcW w:w="2664"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金融专业优先</w:t>
            </w:r>
          </w:p>
        </w:tc>
        <w:tc>
          <w:tcPr>
            <w:tcW w:w="2664"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10-20万/年</w:t>
            </w:r>
          </w:p>
        </w:tc>
        <w:tc>
          <w:tcPr>
            <w:tcW w:w="998" w:type="dxa"/>
            <w:vMerge w:val="restart"/>
            <w:tcBorders>
              <w:left w:val="nil"/>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宁波</w:t>
            </w:r>
          </w:p>
        </w:tc>
      </w:tr>
      <w:tr>
        <w:tblPrEx>
          <w:tblLayout w:type="fixed"/>
          <w:tblCellMar>
            <w:top w:w="0" w:type="dxa"/>
            <w:left w:w="108" w:type="dxa"/>
            <w:bottom w:w="0" w:type="dxa"/>
            <w:right w:w="108" w:type="dxa"/>
          </w:tblCellMar>
        </w:tblPrEx>
        <w:trPr>
          <w:trHeight w:val="360" w:hRule="atLeast"/>
          <w:jc w:val="center"/>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2</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业务助理</w:t>
            </w:r>
          </w:p>
        </w:tc>
        <w:tc>
          <w:tcPr>
            <w:tcW w:w="2664"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国际经济与贸易、财经类、英语专业优先</w:t>
            </w:r>
          </w:p>
        </w:tc>
        <w:tc>
          <w:tcPr>
            <w:tcW w:w="2664"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8-15万/年</w:t>
            </w:r>
          </w:p>
        </w:tc>
        <w:tc>
          <w:tcPr>
            <w:tcW w:w="998" w:type="dxa"/>
            <w:vMerge w:val="continue"/>
            <w:tcBorders>
              <w:left w:val="nil"/>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bl>
    <w:p>
      <w:pPr>
        <w:rPr>
          <w:rFonts w:hint="eastAsia"/>
          <w:lang w:val="en-US" w:eastAsia="zh-CN"/>
        </w:rPr>
      </w:pPr>
    </w:p>
    <w:p>
      <w:pPr>
        <w:rPr>
          <w:rFonts w:hint="eastAsia"/>
          <w:lang w:val="en-US" w:eastAsia="zh-CN"/>
        </w:rPr>
      </w:pPr>
      <w:r>
        <w:rPr>
          <w:rFonts w:hint="eastAsia"/>
          <w:lang w:val="en-US" w:eastAsia="zh-CN"/>
        </w:rPr>
        <w:t>邮箱投递：nhhr@grand-trade.com，请写明：投递岗位名称+姓名+学校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4"/>
        <w:rPr>
          <w:rFonts w:hint="eastAsia"/>
          <w:lang w:val="en-US" w:eastAsia="zh-CN"/>
        </w:rPr>
      </w:pPr>
    </w:p>
    <w:p>
      <w:pPr>
        <w:rPr>
          <w:rFonts w:hint="eastAsia"/>
          <w:lang w:val="en-US" w:eastAsia="zh-CN"/>
        </w:rPr>
      </w:pPr>
    </w:p>
    <w:p>
      <w:pPr>
        <w:pStyle w:val="3"/>
        <w:rPr>
          <w:rFonts w:hint="eastAsia"/>
          <w:lang w:val="en-US" w:eastAsia="zh-CN"/>
        </w:rPr>
      </w:pPr>
      <w:r>
        <w:rPr>
          <w:rFonts w:hint="eastAsia"/>
          <w:lang w:val="en-US" w:eastAsia="zh-CN"/>
        </w:rPr>
        <w:t>上海生水国际贸易有限公司 / 远大生水资源有限公司</w:t>
      </w:r>
    </w:p>
    <w:p>
      <w:pPr>
        <w:pStyle w:val="4"/>
        <w:rPr>
          <w:rFonts w:hint="eastAsia"/>
          <w:lang w:val="en-US" w:eastAsia="zh-CN"/>
        </w:rPr>
      </w:pPr>
      <w:r>
        <w:rPr>
          <w:rFonts w:hint="eastAsia"/>
          <w:lang w:val="en-US" w:eastAsia="zh-CN"/>
        </w:rPr>
        <w:t>公司简介：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上海生水国际贸易有限公司和远大生水资源有限公司设立于上海，是远大物产集团有限公司的控股子公司，公司以期货等金融衍生品工具完成套期保值，规避现货敞口风险，以基差收益为主要盈利点；在经营团队的带领下，借助成熟的投资理念和完善的风险管理措施，公司交易品种不断拓展，交易规模日益扩大，经营业绩稳步提升。</w:t>
      </w:r>
    </w:p>
    <w:p>
      <w:pPr>
        <w:rPr>
          <w:rFonts w:hint="eastAsia"/>
          <w:lang w:val="en-US" w:eastAsia="zh-CN"/>
        </w:rPr>
      </w:pPr>
      <w:r>
        <w:rPr>
          <w:rStyle w:val="8"/>
          <w:rFonts w:hint="eastAsia"/>
          <w:lang w:val="en-US" w:eastAsia="zh-CN"/>
        </w:rPr>
        <w:t>主营业务：</w:t>
      </w:r>
      <w:r>
        <w:rPr>
          <w:rFonts w:hint="eastAsia"/>
          <w:lang w:val="en-US" w:eastAsia="zh-CN"/>
        </w:rPr>
        <w:t>农产品（白糖、油脂、粕类、小麦、玉米），有色金属（铜、铝、铅、锌镍、白、银）等的大宗商品期货及现货业务</w:t>
      </w:r>
    </w:p>
    <w:p>
      <w:pPr>
        <w:rPr>
          <w:rFonts w:hint="eastAsia"/>
          <w:lang w:val="en-US" w:eastAsia="zh-CN"/>
        </w:rPr>
      </w:pPr>
    </w:p>
    <w:tbl>
      <w:tblPr>
        <w:tblStyle w:val="7"/>
        <w:tblW w:w="8522" w:type="dxa"/>
        <w:tblInd w:w="0" w:type="dxa"/>
        <w:tblLayout w:type="fixed"/>
        <w:tblCellMar>
          <w:top w:w="0" w:type="dxa"/>
          <w:left w:w="108" w:type="dxa"/>
          <w:bottom w:w="0" w:type="dxa"/>
          <w:right w:w="108" w:type="dxa"/>
        </w:tblCellMar>
      </w:tblPr>
      <w:tblGrid>
        <w:gridCol w:w="468"/>
        <w:gridCol w:w="1728"/>
        <w:gridCol w:w="2664"/>
        <w:gridCol w:w="2664"/>
        <w:gridCol w:w="998"/>
      </w:tblGrid>
      <w:tr>
        <w:tblPrEx>
          <w:tblLayout w:type="fixed"/>
          <w:tblCellMar>
            <w:top w:w="0" w:type="dxa"/>
            <w:left w:w="108" w:type="dxa"/>
            <w:bottom w:w="0" w:type="dxa"/>
            <w:right w:w="108" w:type="dxa"/>
          </w:tblCellMar>
        </w:tblPrEx>
        <w:trPr>
          <w:trHeight w:val="435" w:hRule="atLeast"/>
        </w:trPr>
        <w:tc>
          <w:tcPr>
            <w:tcW w:w="46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172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664"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664"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99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360" w:hRule="atLeast"/>
        </w:trPr>
        <w:tc>
          <w:tcPr>
            <w:tcW w:w="468" w:type="dxa"/>
            <w:tcBorders>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1</w:t>
            </w:r>
          </w:p>
        </w:tc>
        <w:tc>
          <w:tcPr>
            <w:tcW w:w="1728" w:type="dxa"/>
            <w:tcBorders>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助理研究员</w:t>
            </w:r>
          </w:p>
        </w:tc>
        <w:tc>
          <w:tcPr>
            <w:tcW w:w="2664"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金融、经济、数学等专业优先</w:t>
            </w:r>
          </w:p>
        </w:tc>
        <w:tc>
          <w:tcPr>
            <w:tcW w:w="2664"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10-20万/年</w:t>
            </w:r>
          </w:p>
        </w:tc>
        <w:tc>
          <w:tcPr>
            <w:tcW w:w="998" w:type="dxa"/>
            <w:tcBorders>
              <w:left w:val="nil"/>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上海</w:t>
            </w:r>
          </w:p>
        </w:tc>
      </w:tr>
    </w:tbl>
    <w:p>
      <w:pPr>
        <w:rPr>
          <w:rFonts w:hint="eastAsia"/>
          <w:lang w:val="en-US" w:eastAsia="zh-CN"/>
        </w:rPr>
      </w:pPr>
    </w:p>
    <w:p>
      <w:pPr>
        <w:rPr>
          <w:rFonts w:hint="eastAsia"/>
          <w:lang w:val="en-US" w:eastAsia="zh-CN"/>
        </w:rPr>
      </w:pPr>
      <w:r>
        <w:rPr>
          <w:rFonts w:hint="eastAsia"/>
          <w:lang w:val="en-US" w:eastAsia="zh-CN"/>
        </w:rPr>
        <w:t>农产品类邮箱投递：fanning.tao@grand-trade.com，请写明：投递岗位名称+姓名+学校</w:t>
      </w:r>
    </w:p>
    <w:p>
      <w:pPr>
        <w:rPr>
          <w:rFonts w:hint="eastAsia"/>
          <w:lang w:val="en-US" w:eastAsia="zh-CN"/>
        </w:rPr>
      </w:pPr>
      <w:r>
        <w:rPr>
          <w:rFonts w:hint="eastAsia"/>
          <w:lang w:val="en-US" w:eastAsia="zh-CN"/>
        </w:rPr>
        <w:t>有色金属类邮箱投递：gonglijing@grand-trade.com，请写明：投递岗位名称+姓名+学校</w:t>
      </w:r>
    </w:p>
    <w:p>
      <w:pPr>
        <w:rPr>
          <w:rFonts w:hint="eastAsia"/>
          <w:lang w:val="en-US" w:eastAsia="zh-CN"/>
        </w:rPr>
      </w:pPr>
    </w:p>
    <w:p>
      <w:pPr>
        <w:pStyle w:val="4"/>
        <w:rPr>
          <w:rFonts w:hint="eastAsia"/>
          <w:lang w:val="en-US" w:eastAsia="zh-CN"/>
        </w:rPr>
      </w:pPr>
      <w:r>
        <w:rPr>
          <w:rFonts w:hint="eastAsia"/>
          <w:lang w:val="en-US" w:eastAsia="zh-CN"/>
        </w:rPr>
        <w:t>远大软件技术公司</w:t>
      </w:r>
    </w:p>
    <w:p>
      <w:pPr>
        <w:pStyle w:val="4"/>
        <w:rPr>
          <w:rFonts w:hint="eastAsia"/>
          <w:lang w:val="en-US" w:eastAsia="zh-CN"/>
        </w:rPr>
      </w:pPr>
      <w:r>
        <w:rPr>
          <w:rFonts w:hint="eastAsia"/>
          <w:lang w:val="en-US" w:eastAsia="zh-CN"/>
        </w:rPr>
        <w:t>公司简介：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属于远大物产集团有限公司的控股子公司，主要从事计算机领域内的技术开发、技术咨询、技术服务等业务。</w:t>
      </w:r>
    </w:p>
    <w:tbl>
      <w:tblPr>
        <w:tblStyle w:val="7"/>
        <w:tblW w:w="8522" w:type="dxa"/>
        <w:tblInd w:w="0" w:type="dxa"/>
        <w:tblLayout w:type="fixed"/>
        <w:tblCellMar>
          <w:top w:w="0" w:type="dxa"/>
          <w:left w:w="108" w:type="dxa"/>
          <w:bottom w:w="0" w:type="dxa"/>
          <w:right w:w="108" w:type="dxa"/>
        </w:tblCellMar>
      </w:tblPr>
      <w:tblGrid>
        <w:gridCol w:w="468"/>
        <w:gridCol w:w="2040"/>
        <w:gridCol w:w="2352"/>
        <w:gridCol w:w="2664"/>
        <w:gridCol w:w="998"/>
      </w:tblGrid>
      <w:tr>
        <w:tblPrEx>
          <w:tblLayout w:type="fixed"/>
          <w:tblCellMar>
            <w:top w:w="0" w:type="dxa"/>
            <w:left w:w="108" w:type="dxa"/>
            <w:bottom w:w="0" w:type="dxa"/>
            <w:right w:w="108" w:type="dxa"/>
          </w:tblCellMar>
        </w:tblPrEx>
        <w:trPr>
          <w:trHeight w:val="435" w:hRule="atLeast"/>
        </w:trPr>
        <w:tc>
          <w:tcPr>
            <w:tcW w:w="468"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2040"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352"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664"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998"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1</w:t>
            </w:r>
          </w:p>
        </w:tc>
        <w:tc>
          <w:tcPr>
            <w:tcW w:w="2040"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金融软件工程师</w:t>
            </w:r>
            <w:r>
              <w:rPr>
                <w:rFonts w:hint="eastAsia" w:ascii="微软雅黑" w:hAnsi="微软雅黑" w:eastAsia="微软雅黑"/>
                <w:sz w:val="24"/>
                <w:szCs w:val="24"/>
                <w:lang w:val="en-US" w:eastAsia="zh-CN"/>
              </w:rPr>
              <w:t>(C++/C#/Java)</w:t>
            </w:r>
          </w:p>
        </w:tc>
        <w:tc>
          <w:tcPr>
            <w:tcW w:w="2352"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计算机等专业优先</w:t>
            </w:r>
          </w:p>
        </w:tc>
        <w:tc>
          <w:tcPr>
            <w:tcW w:w="2664"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15-30万/年</w:t>
            </w:r>
          </w:p>
        </w:tc>
        <w:tc>
          <w:tcPr>
            <w:tcW w:w="998"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上海</w:t>
            </w: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2</w:t>
            </w:r>
          </w:p>
        </w:tc>
        <w:tc>
          <w:tcPr>
            <w:tcW w:w="2040"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测试工程师</w:t>
            </w:r>
          </w:p>
        </w:tc>
        <w:tc>
          <w:tcPr>
            <w:tcW w:w="2352"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计算机等专业优先</w:t>
            </w:r>
          </w:p>
        </w:tc>
        <w:tc>
          <w:tcPr>
            <w:tcW w:w="2664"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8-20万/年</w:t>
            </w:r>
          </w:p>
        </w:tc>
        <w:tc>
          <w:tcPr>
            <w:tcW w:w="998"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上海</w:t>
            </w:r>
          </w:p>
        </w:tc>
      </w:tr>
    </w:tbl>
    <w:p>
      <w:pPr>
        <w:rPr>
          <w:rFonts w:hint="eastAsia"/>
          <w:lang w:val="en-US" w:eastAsia="zh-CN"/>
        </w:rPr>
      </w:pPr>
      <w:r>
        <w:rPr>
          <w:rFonts w:hint="eastAsia"/>
          <w:lang w:val="en-US" w:eastAsia="zh-CN"/>
        </w:rPr>
        <w:t>邮箱投递：qiuyf@grand-trade.com，请写明：投递岗位名称+姓名+学校</w:t>
      </w:r>
    </w:p>
    <w:p>
      <w:pPr>
        <w:pStyle w:val="3"/>
        <w:rPr>
          <w:rFonts w:hint="eastAsia"/>
          <w:lang w:val="en-US" w:eastAsia="zh-CN"/>
        </w:rPr>
      </w:pPr>
      <w:r>
        <w:rPr>
          <w:rFonts w:hint="eastAsia"/>
          <w:lang w:val="en-US" w:eastAsia="zh-CN"/>
        </w:rPr>
        <w:t>研投北京办</w:t>
      </w:r>
    </w:p>
    <w:tbl>
      <w:tblPr>
        <w:tblStyle w:val="7"/>
        <w:tblW w:w="8522" w:type="dxa"/>
        <w:tblInd w:w="0" w:type="dxa"/>
        <w:tblLayout w:type="fixed"/>
        <w:tblCellMar>
          <w:top w:w="0" w:type="dxa"/>
          <w:left w:w="108" w:type="dxa"/>
          <w:bottom w:w="0" w:type="dxa"/>
          <w:right w:w="108" w:type="dxa"/>
        </w:tblCellMar>
      </w:tblPr>
      <w:tblGrid>
        <w:gridCol w:w="468"/>
        <w:gridCol w:w="1728"/>
        <w:gridCol w:w="2843"/>
        <w:gridCol w:w="2485"/>
        <w:gridCol w:w="998"/>
      </w:tblGrid>
      <w:tr>
        <w:tblPrEx>
          <w:tblLayout w:type="fixed"/>
          <w:tblCellMar>
            <w:top w:w="0" w:type="dxa"/>
            <w:left w:w="108" w:type="dxa"/>
            <w:bottom w:w="0" w:type="dxa"/>
            <w:right w:w="108" w:type="dxa"/>
          </w:tblCellMar>
        </w:tblPrEx>
        <w:trPr>
          <w:trHeight w:val="435" w:hRule="atLeast"/>
        </w:trPr>
        <w:tc>
          <w:tcPr>
            <w:tcW w:w="468" w:type="dxa"/>
            <w:tcBorders>
              <w:left w:val="single" w:color="FFFFFF" w:themeColor="background1" w:sz="8" w:space="0"/>
              <w:bottom w:val="single" w:color="000000" w:themeColor="text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1728" w:type="dxa"/>
            <w:tcBorders>
              <w:left w:val="single" w:color="FFFFFF" w:themeColor="background1" w:sz="8" w:space="0"/>
              <w:bottom w:val="single" w:color="000000" w:themeColor="text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843" w:type="dxa"/>
            <w:tcBorders>
              <w:left w:val="single" w:color="FFFFFF" w:themeColor="background1" w:sz="8" w:space="0"/>
              <w:bottom w:val="single" w:color="000000" w:themeColor="text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485" w:type="dxa"/>
            <w:tcBorders>
              <w:left w:val="single" w:color="FFFFFF" w:themeColor="background1" w:sz="8" w:space="0"/>
              <w:bottom w:val="single" w:color="000000" w:themeColor="text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99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435" w:hRule="atLeast"/>
        </w:trPr>
        <w:tc>
          <w:tcPr>
            <w:tcW w:w="46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extDirection w:val="lrTb"/>
            <w:vAlign w:val="center"/>
          </w:tcPr>
          <w:p>
            <w:pPr>
              <w:widowControl/>
              <w:jc w:val="center"/>
              <w:rPr>
                <w:rFonts w:hint="eastAsia" w:ascii="微软雅黑" w:hAnsi="微软雅黑" w:eastAsia="微软雅黑" w:cs="宋体"/>
                <w:b/>
                <w:bCs/>
                <w:color w:val="FFFFFF"/>
                <w:kern w:val="0"/>
                <w:sz w:val="24"/>
                <w:szCs w:val="24"/>
              </w:rPr>
            </w:pPr>
            <w:r>
              <w:rPr>
                <w:rFonts w:hint="eastAsia" w:ascii="微软雅黑" w:hAnsi="微软雅黑" w:eastAsia="微软雅黑" w:cs="宋体"/>
                <w:color w:val="000000"/>
                <w:kern w:val="0"/>
                <w:sz w:val="24"/>
                <w:szCs w:val="24"/>
                <w:lang w:val="en-US" w:eastAsia="zh-CN"/>
              </w:rPr>
              <w:t>1</w:t>
            </w:r>
          </w:p>
        </w:tc>
        <w:tc>
          <w:tcPr>
            <w:tcW w:w="172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jc w:val="center"/>
              <w:rPr>
                <w:rFonts w:hint="eastAsia" w:ascii="微软雅黑" w:hAnsi="微软雅黑" w:eastAsia="微软雅黑" w:cs="宋体"/>
                <w:b/>
                <w:bCs/>
                <w:color w:val="FFFFFF"/>
                <w:kern w:val="0"/>
                <w:sz w:val="24"/>
                <w:szCs w:val="24"/>
              </w:rPr>
            </w:pPr>
            <w:r>
              <w:rPr>
                <w:rFonts w:hint="eastAsia" w:ascii="微软雅黑" w:hAnsi="微软雅黑" w:eastAsia="微软雅黑"/>
                <w:sz w:val="24"/>
                <w:szCs w:val="24"/>
                <w:lang w:eastAsia="zh-CN"/>
              </w:rPr>
              <w:t>期货交易员</w:t>
            </w:r>
          </w:p>
        </w:tc>
        <w:tc>
          <w:tcPr>
            <w:tcW w:w="28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金融、数学统计优先</w:t>
            </w:r>
          </w:p>
        </w:tc>
        <w:tc>
          <w:tcPr>
            <w:tcW w:w="248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15万/年</w:t>
            </w:r>
          </w:p>
        </w:tc>
        <w:tc>
          <w:tcPr>
            <w:tcW w:w="998" w:type="dxa"/>
            <w:vMerge w:val="restart"/>
            <w:tcBorders>
              <w:left w:val="single" w:color="000000" w:themeColor="text1" w:sz="8" w:space="0"/>
              <w:right w:val="single" w:color="FFFFFF" w:themeColor="background1" w:sz="8" w:space="0"/>
            </w:tcBorders>
            <w:shd w:val="clear" w:color="000000" w:fill="FFFFFF" w:themeFill="background1"/>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val="0"/>
                <w:bCs w:val="0"/>
                <w:color w:val="auto"/>
                <w:kern w:val="0"/>
                <w:sz w:val="24"/>
                <w:szCs w:val="24"/>
                <w:lang w:eastAsia="zh-CN"/>
              </w:rPr>
              <w:t>北京</w:t>
            </w:r>
          </w:p>
        </w:tc>
      </w:tr>
      <w:tr>
        <w:tblPrEx>
          <w:tblLayout w:type="fixed"/>
          <w:tblCellMar>
            <w:top w:w="0" w:type="dxa"/>
            <w:left w:w="108" w:type="dxa"/>
            <w:bottom w:w="0" w:type="dxa"/>
            <w:right w:w="108" w:type="dxa"/>
          </w:tblCellMar>
        </w:tblPrEx>
        <w:trPr>
          <w:trHeight w:val="435" w:hRule="atLeast"/>
        </w:trPr>
        <w:tc>
          <w:tcPr>
            <w:tcW w:w="46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extDirection w:val="lrTb"/>
            <w:vAlign w:val="center"/>
          </w:tcPr>
          <w:p>
            <w:pPr>
              <w:widowControl/>
              <w:jc w:val="center"/>
              <w:rPr>
                <w:rFonts w:hint="eastAsia" w:ascii="微软雅黑" w:hAnsi="微软雅黑" w:eastAsia="微软雅黑" w:cs="宋体"/>
                <w:b/>
                <w:bCs/>
                <w:color w:val="FFFFFF"/>
                <w:kern w:val="0"/>
                <w:sz w:val="24"/>
                <w:szCs w:val="24"/>
              </w:rPr>
            </w:pPr>
            <w:r>
              <w:rPr>
                <w:rFonts w:hint="eastAsia" w:ascii="微软雅黑" w:hAnsi="微软雅黑" w:eastAsia="微软雅黑" w:cs="宋体"/>
                <w:color w:val="000000"/>
                <w:kern w:val="0"/>
                <w:sz w:val="24"/>
                <w:szCs w:val="24"/>
                <w:lang w:val="en-US" w:eastAsia="zh-CN"/>
              </w:rPr>
              <w:t>2</w:t>
            </w:r>
          </w:p>
        </w:tc>
        <w:tc>
          <w:tcPr>
            <w:tcW w:w="172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jc w:val="center"/>
              <w:rPr>
                <w:rFonts w:hint="eastAsia" w:ascii="微软雅黑" w:hAnsi="微软雅黑" w:eastAsia="微软雅黑" w:cs="宋体"/>
                <w:b/>
                <w:bCs/>
                <w:color w:val="FFFFFF"/>
                <w:kern w:val="0"/>
                <w:sz w:val="24"/>
                <w:szCs w:val="24"/>
              </w:rPr>
            </w:pPr>
            <w:r>
              <w:rPr>
                <w:rFonts w:hint="eastAsia" w:ascii="微软雅黑" w:hAnsi="微软雅黑" w:eastAsia="微软雅黑"/>
                <w:sz w:val="24"/>
                <w:szCs w:val="24"/>
                <w:lang w:eastAsia="zh-CN"/>
              </w:rPr>
              <w:t>期货研究员</w:t>
            </w:r>
          </w:p>
        </w:tc>
        <w:tc>
          <w:tcPr>
            <w:tcW w:w="28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金融、数学统计优先</w:t>
            </w:r>
          </w:p>
        </w:tc>
        <w:tc>
          <w:tcPr>
            <w:tcW w:w="248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15万/年</w:t>
            </w:r>
          </w:p>
        </w:tc>
        <w:tc>
          <w:tcPr>
            <w:tcW w:w="998" w:type="dxa"/>
            <w:vMerge w:val="continue"/>
            <w:tcBorders>
              <w:left w:val="single" w:color="000000" w:themeColor="text1" w:sz="8" w:space="0"/>
              <w:right w:val="single" w:color="FFFFFF" w:themeColor="background1" w:sz="8" w:space="0"/>
            </w:tcBorders>
            <w:shd w:val="clear" w:color="000000" w:fill="FFFFFF" w:themeFill="background1"/>
            <w:vAlign w:val="center"/>
          </w:tcPr>
          <w:p>
            <w:pPr>
              <w:widowControl/>
              <w:jc w:val="center"/>
              <w:rPr>
                <w:rFonts w:hint="eastAsia" w:ascii="微软雅黑" w:hAnsi="微软雅黑" w:eastAsia="微软雅黑" w:cs="宋体"/>
                <w:b/>
                <w:bCs/>
                <w:color w:val="FFFFFF"/>
                <w:kern w:val="0"/>
                <w:sz w:val="24"/>
                <w:szCs w:val="24"/>
              </w:rPr>
            </w:pPr>
          </w:p>
        </w:tc>
      </w:tr>
      <w:tr>
        <w:tblPrEx>
          <w:tblLayout w:type="fixed"/>
          <w:tblCellMar>
            <w:top w:w="0" w:type="dxa"/>
            <w:left w:w="108" w:type="dxa"/>
            <w:bottom w:w="0" w:type="dxa"/>
            <w:right w:w="108" w:type="dxa"/>
          </w:tblCellMar>
        </w:tblPrEx>
        <w:trPr>
          <w:trHeight w:val="435" w:hRule="atLeast"/>
        </w:trPr>
        <w:tc>
          <w:tcPr>
            <w:tcW w:w="46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extDirection w:val="lrTb"/>
            <w:vAlign w:val="center"/>
          </w:tcPr>
          <w:p>
            <w:pPr>
              <w:widowControl/>
              <w:jc w:val="center"/>
              <w:rPr>
                <w:rFonts w:hint="eastAsia" w:ascii="微软雅黑" w:hAnsi="微软雅黑" w:eastAsia="微软雅黑" w:cs="宋体"/>
                <w:b/>
                <w:bCs/>
                <w:color w:val="FFFFFF"/>
                <w:kern w:val="0"/>
                <w:sz w:val="24"/>
                <w:szCs w:val="24"/>
              </w:rPr>
            </w:pPr>
            <w:r>
              <w:rPr>
                <w:rFonts w:hint="eastAsia" w:ascii="微软雅黑" w:hAnsi="微软雅黑" w:eastAsia="微软雅黑" w:cs="宋体"/>
                <w:color w:val="000000"/>
                <w:kern w:val="0"/>
                <w:sz w:val="24"/>
                <w:szCs w:val="24"/>
                <w:lang w:val="en-US" w:eastAsia="zh-CN"/>
              </w:rPr>
              <w:t>3</w:t>
            </w:r>
          </w:p>
        </w:tc>
        <w:tc>
          <w:tcPr>
            <w:tcW w:w="172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jc w:val="center"/>
              <w:rPr>
                <w:rFonts w:hint="eastAsia" w:ascii="微软雅黑" w:hAnsi="微软雅黑" w:eastAsia="微软雅黑" w:cs="宋体"/>
                <w:b/>
                <w:bCs/>
                <w:color w:val="FFFFFF"/>
                <w:kern w:val="0"/>
                <w:sz w:val="24"/>
                <w:szCs w:val="24"/>
              </w:rPr>
            </w:pPr>
            <w:r>
              <w:rPr>
                <w:rFonts w:hint="eastAsia" w:ascii="微软雅黑" w:hAnsi="微软雅黑" w:eastAsia="微软雅黑"/>
                <w:sz w:val="24"/>
                <w:szCs w:val="24"/>
                <w:lang w:eastAsia="zh-CN"/>
              </w:rPr>
              <w:t>秘书</w:t>
            </w:r>
          </w:p>
        </w:tc>
        <w:tc>
          <w:tcPr>
            <w:tcW w:w="28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英语8级或以上</w:t>
            </w:r>
          </w:p>
        </w:tc>
        <w:tc>
          <w:tcPr>
            <w:tcW w:w="248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15万/年</w:t>
            </w:r>
          </w:p>
        </w:tc>
        <w:tc>
          <w:tcPr>
            <w:tcW w:w="998" w:type="dxa"/>
            <w:vMerge w:val="continue"/>
            <w:tcBorders>
              <w:left w:val="single" w:color="000000" w:themeColor="text1" w:sz="8" w:space="0"/>
              <w:right w:val="single" w:color="FFFFFF" w:themeColor="background1" w:sz="8" w:space="0"/>
            </w:tcBorders>
            <w:shd w:val="clear" w:color="000000" w:fill="FFFFFF" w:themeFill="background1"/>
            <w:vAlign w:val="center"/>
          </w:tcPr>
          <w:p>
            <w:pPr>
              <w:widowControl/>
              <w:jc w:val="center"/>
              <w:rPr>
                <w:rFonts w:hint="eastAsia" w:ascii="微软雅黑" w:hAnsi="微软雅黑" w:eastAsia="微软雅黑" w:cs="宋体"/>
                <w:b/>
                <w:bCs/>
                <w:color w:val="FFFFFF"/>
                <w:kern w:val="0"/>
                <w:sz w:val="24"/>
                <w:szCs w:val="24"/>
              </w:rPr>
            </w:pPr>
          </w:p>
        </w:tc>
      </w:tr>
      <w:tr>
        <w:tblPrEx>
          <w:tblLayout w:type="fixed"/>
          <w:tblCellMar>
            <w:top w:w="0" w:type="dxa"/>
            <w:left w:w="108" w:type="dxa"/>
            <w:bottom w:w="0" w:type="dxa"/>
            <w:right w:w="108" w:type="dxa"/>
          </w:tblCellMar>
        </w:tblPrEx>
        <w:trPr>
          <w:trHeight w:val="435" w:hRule="atLeast"/>
        </w:trPr>
        <w:tc>
          <w:tcPr>
            <w:tcW w:w="46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extDirection w:val="lrTb"/>
            <w:vAlign w:val="center"/>
          </w:tcPr>
          <w:p>
            <w:pPr>
              <w:widowControl/>
              <w:jc w:val="center"/>
              <w:rPr>
                <w:rFonts w:hint="eastAsia" w:ascii="微软雅黑" w:hAnsi="微软雅黑" w:eastAsia="微软雅黑" w:cs="宋体"/>
                <w:b/>
                <w:bCs/>
                <w:color w:val="FFFFFF"/>
                <w:kern w:val="0"/>
                <w:sz w:val="24"/>
                <w:szCs w:val="24"/>
              </w:rPr>
            </w:pPr>
            <w:r>
              <w:rPr>
                <w:rFonts w:hint="eastAsia" w:ascii="微软雅黑" w:hAnsi="微软雅黑" w:eastAsia="微软雅黑" w:cs="宋体"/>
                <w:color w:val="000000"/>
                <w:kern w:val="0"/>
                <w:sz w:val="24"/>
                <w:szCs w:val="24"/>
                <w:lang w:val="en-US" w:eastAsia="zh-CN"/>
              </w:rPr>
              <w:t>4</w:t>
            </w:r>
          </w:p>
        </w:tc>
        <w:tc>
          <w:tcPr>
            <w:tcW w:w="1728"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jc w:val="center"/>
              <w:rPr>
                <w:rFonts w:hint="eastAsia" w:ascii="微软雅黑" w:hAnsi="微软雅黑" w:eastAsia="微软雅黑" w:cs="宋体"/>
                <w:b/>
                <w:bCs/>
                <w:color w:val="FFFFFF"/>
                <w:kern w:val="0"/>
                <w:sz w:val="24"/>
                <w:szCs w:val="24"/>
              </w:rPr>
            </w:pPr>
            <w:r>
              <w:rPr>
                <w:rFonts w:hint="eastAsia" w:ascii="微软雅黑" w:hAnsi="微软雅黑" w:eastAsia="微软雅黑"/>
                <w:sz w:val="24"/>
                <w:szCs w:val="24"/>
                <w:lang w:eastAsia="zh-CN"/>
              </w:rPr>
              <w:t>行政前台</w:t>
            </w:r>
          </w:p>
        </w:tc>
        <w:tc>
          <w:tcPr>
            <w:tcW w:w="284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无</w:t>
            </w:r>
          </w:p>
        </w:tc>
        <w:tc>
          <w:tcPr>
            <w:tcW w:w="248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000000" w:fill="FFFFFF"/>
            <w:textDirection w:val="lrTb"/>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color w:val="000000"/>
                <w:kern w:val="0"/>
                <w:sz w:val="24"/>
                <w:szCs w:val="24"/>
                <w:lang w:val="en-US" w:eastAsia="zh-CN"/>
              </w:rPr>
              <w:t>8万/年</w:t>
            </w:r>
          </w:p>
        </w:tc>
        <w:tc>
          <w:tcPr>
            <w:tcW w:w="998" w:type="dxa"/>
            <w:vMerge w:val="continue"/>
            <w:tcBorders>
              <w:left w:val="single" w:color="000000" w:themeColor="text1" w:sz="8" w:space="0"/>
              <w:right w:val="single" w:color="FFFFFF" w:themeColor="background1" w:sz="8" w:space="0"/>
            </w:tcBorders>
            <w:shd w:val="clear" w:color="000000" w:fill="FFFFFF" w:themeFill="background1"/>
            <w:vAlign w:val="center"/>
          </w:tcPr>
          <w:p>
            <w:pPr>
              <w:widowControl/>
              <w:jc w:val="center"/>
              <w:rPr>
                <w:rFonts w:hint="eastAsia" w:ascii="微软雅黑" w:hAnsi="微软雅黑" w:eastAsia="微软雅黑" w:cs="宋体"/>
                <w:b/>
                <w:bCs/>
                <w:color w:val="FFFFFF"/>
                <w:kern w:val="0"/>
                <w:sz w:val="24"/>
                <w:szCs w:val="24"/>
              </w:rPr>
            </w:pPr>
          </w:p>
        </w:tc>
      </w:tr>
    </w:tbl>
    <w:p>
      <w:pPr>
        <w:rPr>
          <w:rFonts w:hint="eastAsia"/>
          <w:lang w:val="en-US" w:eastAsia="zh-CN"/>
        </w:rPr>
      </w:pPr>
    </w:p>
    <w:p>
      <w:pPr>
        <w:rPr>
          <w:rFonts w:hint="eastAsia"/>
          <w:lang w:val="en-US" w:eastAsia="zh-CN"/>
        </w:rPr>
      </w:pPr>
      <w:r>
        <w:rPr>
          <w:rFonts w:hint="eastAsia"/>
          <w:lang w:val="en-US" w:eastAsia="zh-CN"/>
        </w:rPr>
        <w:t>邮箱投递：zhujie@grand-trade.com，请写明：投递岗位名称+姓名+学校</w:t>
      </w:r>
    </w:p>
    <w:p>
      <w:pPr>
        <w:rPr>
          <w:rFonts w:hint="eastAsia"/>
          <w:lang w:val="en-US" w:eastAsia="zh-CN"/>
        </w:rPr>
      </w:pPr>
    </w:p>
    <w:p>
      <w:pPr>
        <w:pStyle w:val="3"/>
        <w:rPr>
          <w:rFonts w:hint="eastAsia"/>
          <w:lang w:val="en-US" w:eastAsia="zh-CN"/>
        </w:rPr>
      </w:pPr>
      <w:r>
        <w:rPr>
          <w:rFonts w:hint="eastAsia"/>
          <w:lang w:val="en-US" w:eastAsia="zh-CN"/>
        </w:rPr>
        <w:t>浙江朗闰资本管理有限公司 / 珠海横琴丙申资本管理有限公司</w:t>
      </w:r>
    </w:p>
    <w:p>
      <w:pPr>
        <w:pStyle w:val="4"/>
        <w:rPr>
          <w:rFonts w:hint="eastAsia"/>
          <w:lang w:val="en-US" w:eastAsia="zh-CN"/>
        </w:rPr>
      </w:pPr>
      <w:r>
        <w:rPr>
          <w:rFonts w:hint="eastAsia"/>
          <w:lang w:val="en-US" w:eastAsia="zh-CN"/>
        </w:rPr>
        <w:t>公司简介：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浙江朗闰资本管理有限公司（杭州）与珠海横琴丙申资本管理有限公司（北京）是远大物产集团有限公司的控股子公司，是鉴于战略发展需要而成立的以市场研究、渠道建设、金融投资为手段的大宗商品风险管理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朗闰资管核心经营管理团队来自曾经在邦吉公司、来宝公司以及中国涌金投资集团工作过的高管，有丰富的国际大公司整合产业链及大宗商品投资经验。在未来会探索如何利用金融衍生品工具帮助上下游企业管理市场风险，走金融衍生品与产业协调发展之路，成为全产业链的对冲基金管理公司。</w:t>
      </w:r>
    </w:p>
    <w:tbl>
      <w:tblPr>
        <w:tblStyle w:val="7"/>
        <w:tblW w:w="8522" w:type="dxa"/>
        <w:tblInd w:w="0" w:type="dxa"/>
        <w:tblLayout w:type="fixed"/>
        <w:tblCellMar>
          <w:top w:w="0" w:type="dxa"/>
          <w:left w:w="108" w:type="dxa"/>
          <w:bottom w:w="0" w:type="dxa"/>
          <w:right w:w="108" w:type="dxa"/>
        </w:tblCellMar>
      </w:tblPr>
      <w:tblGrid>
        <w:gridCol w:w="468"/>
        <w:gridCol w:w="1728"/>
        <w:gridCol w:w="2843"/>
        <w:gridCol w:w="2485"/>
        <w:gridCol w:w="998"/>
      </w:tblGrid>
      <w:tr>
        <w:tblPrEx>
          <w:tblLayout w:type="fixed"/>
          <w:tblCellMar>
            <w:top w:w="0" w:type="dxa"/>
            <w:left w:w="108" w:type="dxa"/>
            <w:bottom w:w="0" w:type="dxa"/>
            <w:right w:w="108" w:type="dxa"/>
          </w:tblCellMar>
        </w:tblPrEx>
        <w:trPr>
          <w:trHeight w:val="435" w:hRule="atLeast"/>
        </w:trPr>
        <w:tc>
          <w:tcPr>
            <w:tcW w:w="46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序号</w:t>
            </w:r>
          </w:p>
        </w:tc>
        <w:tc>
          <w:tcPr>
            <w:tcW w:w="1728"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岗位</w:t>
            </w:r>
          </w:p>
        </w:tc>
        <w:tc>
          <w:tcPr>
            <w:tcW w:w="2843"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专业偏好</w:t>
            </w:r>
          </w:p>
        </w:tc>
        <w:tc>
          <w:tcPr>
            <w:tcW w:w="2485" w:type="dxa"/>
            <w:tcBorders>
              <w:left w:val="single" w:color="FFFFFF" w:themeColor="background1" w:sz="8" w:space="0"/>
              <w:right w:val="single" w:color="FFFFFF" w:themeColor="background1" w:sz="8" w:space="0"/>
            </w:tcBorders>
            <w:shd w:val="clear" w:color="000000" w:fill="1F497D"/>
            <w:vAlign w:val="center"/>
          </w:tcPr>
          <w:p>
            <w:pPr>
              <w:widowControl/>
              <w:jc w:val="center"/>
              <w:rPr>
                <w:rFonts w:hint="eastAsia" w:ascii="微软雅黑" w:hAnsi="微软雅黑" w:eastAsia="微软雅黑" w:cs="宋体"/>
                <w:b/>
                <w:bCs/>
                <w:color w:val="FFFFFF"/>
                <w:kern w:val="0"/>
                <w:sz w:val="24"/>
                <w:szCs w:val="24"/>
                <w:lang w:eastAsia="zh-CN"/>
              </w:rPr>
            </w:pPr>
            <w:r>
              <w:rPr>
                <w:rFonts w:hint="eastAsia" w:ascii="微软雅黑" w:hAnsi="微软雅黑" w:eastAsia="微软雅黑" w:cs="宋体"/>
                <w:b/>
                <w:bCs/>
                <w:color w:val="FFFFFF"/>
                <w:kern w:val="0"/>
                <w:sz w:val="24"/>
                <w:szCs w:val="24"/>
                <w:lang w:eastAsia="zh-CN"/>
              </w:rPr>
              <w:t>薪资</w:t>
            </w:r>
          </w:p>
        </w:tc>
        <w:tc>
          <w:tcPr>
            <w:tcW w:w="998" w:type="dxa"/>
            <w:tcBorders>
              <w:left w:val="single" w:color="FFFFFF" w:themeColor="background1" w:sz="8" w:space="0"/>
              <w:bottom w:val="single" w:color="4F81BD" w:sz="8" w:space="0"/>
              <w:right w:val="single" w:color="FFFFFF" w:themeColor="background1" w:sz="8" w:space="0"/>
            </w:tcBorders>
            <w:shd w:val="clear" w:color="000000" w:fill="1F497D"/>
            <w:vAlign w:val="center"/>
          </w:tcPr>
          <w:p>
            <w:pPr>
              <w:widowControl/>
              <w:jc w:val="center"/>
              <w:rPr>
                <w:rFonts w:ascii="微软雅黑" w:hAnsi="微软雅黑" w:eastAsia="微软雅黑" w:cs="宋体"/>
                <w:b/>
                <w:bCs/>
                <w:color w:val="FFFFFF"/>
                <w:kern w:val="0"/>
                <w:sz w:val="24"/>
                <w:szCs w:val="24"/>
              </w:rPr>
            </w:pPr>
            <w:r>
              <w:rPr>
                <w:rFonts w:hint="eastAsia" w:ascii="微软雅黑" w:hAnsi="微软雅黑" w:eastAsia="微软雅黑" w:cs="宋体"/>
                <w:b/>
                <w:bCs/>
                <w:color w:val="FFFFFF"/>
                <w:kern w:val="0"/>
                <w:sz w:val="24"/>
                <w:szCs w:val="24"/>
              </w:rPr>
              <w:t>工作地点</w:t>
            </w:r>
          </w:p>
        </w:tc>
      </w:tr>
      <w:tr>
        <w:tblPrEx>
          <w:tblLayout w:type="fixed"/>
          <w:tblCellMar>
            <w:top w:w="0" w:type="dxa"/>
            <w:left w:w="108" w:type="dxa"/>
            <w:bottom w:w="0" w:type="dxa"/>
            <w:right w:w="108" w:type="dxa"/>
          </w:tblCellMar>
        </w:tblPrEx>
        <w:trPr>
          <w:trHeight w:val="360" w:hRule="atLeast"/>
        </w:trPr>
        <w:tc>
          <w:tcPr>
            <w:tcW w:w="468" w:type="dxa"/>
            <w:tcBorders>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1</w:t>
            </w:r>
          </w:p>
        </w:tc>
        <w:tc>
          <w:tcPr>
            <w:tcW w:w="1728" w:type="dxa"/>
            <w:tcBorders>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val="en-US" w:eastAsia="zh-CN"/>
              </w:rPr>
            </w:pPr>
            <w:r>
              <w:rPr>
                <w:rFonts w:hint="eastAsia" w:ascii="微软雅黑" w:hAnsi="微软雅黑" w:eastAsia="微软雅黑"/>
                <w:sz w:val="24"/>
                <w:szCs w:val="24"/>
                <w:lang w:val="en-US" w:eastAsia="zh-CN"/>
              </w:rPr>
              <w:t>现货业务员</w:t>
            </w:r>
          </w:p>
        </w:tc>
        <w:tc>
          <w:tcPr>
            <w:tcW w:w="2843"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化工、金融、数学统计等</w:t>
            </w:r>
          </w:p>
        </w:tc>
        <w:tc>
          <w:tcPr>
            <w:tcW w:w="2485" w:type="dxa"/>
            <w:tcBorders>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8-10万/年</w:t>
            </w:r>
          </w:p>
        </w:tc>
        <w:tc>
          <w:tcPr>
            <w:tcW w:w="998" w:type="dxa"/>
            <w:vMerge w:val="restart"/>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spacing w:line="320" w:lineRule="exact"/>
              <w:jc w:val="center"/>
              <w:rPr>
                <w:rFonts w:hint="eastAsia" w:ascii="微软雅黑" w:hAnsi="微软雅黑" w:eastAsia="微软雅黑" w:cs="宋体"/>
                <w:color w:val="000000"/>
                <w:kern w:val="0"/>
                <w:sz w:val="24"/>
                <w:szCs w:val="24"/>
                <w:lang w:eastAsia="zh-CN"/>
              </w:rPr>
            </w:pPr>
            <w:r>
              <w:rPr>
                <w:rFonts w:hint="eastAsia" w:ascii="微软雅黑" w:hAnsi="微软雅黑" w:eastAsia="微软雅黑" w:cs="宋体"/>
                <w:color w:val="000000"/>
                <w:kern w:val="0"/>
                <w:sz w:val="24"/>
                <w:szCs w:val="24"/>
                <w:lang w:eastAsia="zh-CN"/>
              </w:rPr>
              <w:t>杭州</w:t>
            </w:r>
          </w:p>
        </w:tc>
      </w:tr>
      <w:tr>
        <w:tblPrEx>
          <w:tblLayout w:type="fixed"/>
          <w:tblCellMar>
            <w:top w:w="0" w:type="dxa"/>
            <w:left w:w="108" w:type="dxa"/>
            <w:bottom w:w="0" w:type="dxa"/>
            <w:right w:w="108" w:type="dxa"/>
          </w:tblCellMar>
        </w:tblPrEx>
        <w:trPr>
          <w:trHeight w:val="360" w:hRule="atLeast"/>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2</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法务专员</w:t>
            </w:r>
          </w:p>
        </w:tc>
        <w:tc>
          <w:tcPr>
            <w:tcW w:w="2843" w:type="dxa"/>
            <w:tcBorders>
              <w:top w:val="nil"/>
              <w:left w:val="nil"/>
              <w:bottom w:val="single" w:color="4F81BD" w:sz="8" w:space="0"/>
              <w:right w:val="single" w:color="4F81BD" w:sz="8" w:space="0"/>
            </w:tcBorders>
            <w:shd w:val="clear" w:color="000000" w:fill="FFFFFF"/>
            <w:vAlign w:val="top"/>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法律相关专业</w:t>
            </w:r>
          </w:p>
        </w:tc>
        <w:tc>
          <w:tcPr>
            <w:tcW w:w="2485" w:type="dxa"/>
            <w:tcBorders>
              <w:top w:val="nil"/>
              <w:left w:val="nil"/>
              <w:bottom w:val="single" w:color="4F81BD" w:sz="8" w:space="0"/>
              <w:right w:val="single" w:color="4F81BD" w:sz="8" w:space="0"/>
            </w:tcBorders>
            <w:shd w:val="clear" w:color="000000" w:fill="FFFFFF"/>
            <w:vAlign w:val="top"/>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10-15万/年</w:t>
            </w:r>
          </w:p>
        </w:tc>
        <w:tc>
          <w:tcPr>
            <w:tcW w:w="998" w:type="dxa"/>
            <w:vMerge w:val="continue"/>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3</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行政助理</w:t>
            </w:r>
          </w:p>
        </w:tc>
        <w:tc>
          <w:tcPr>
            <w:tcW w:w="2843"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无</w:t>
            </w:r>
          </w:p>
        </w:tc>
        <w:tc>
          <w:tcPr>
            <w:tcW w:w="2485"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10-12万/年</w:t>
            </w:r>
          </w:p>
        </w:tc>
        <w:tc>
          <w:tcPr>
            <w:tcW w:w="998" w:type="dxa"/>
            <w:vMerge w:val="continue"/>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nil"/>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4</w:t>
            </w:r>
          </w:p>
        </w:tc>
        <w:tc>
          <w:tcPr>
            <w:tcW w:w="1728" w:type="dxa"/>
            <w:tcBorders>
              <w:top w:val="nil"/>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行政前台</w:t>
            </w:r>
          </w:p>
        </w:tc>
        <w:tc>
          <w:tcPr>
            <w:tcW w:w="2843"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无</w:t>
            </w:r>
          </w:p>
        </w:tc>
        <w:tc>
          <w:tcPr>
            <w:tcW w:w="2485" w:type="dxa"/>
            <w:tcBorders>
              <w:top w:val="nil"/>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8-10万/年</w:t>
            </w:r>
          </w:p>
        </w:tc>
        <w:tc>
          <w:tcPr>
            <w:tcW w:w="998" w:type="dxa"/>
            <w:vMerge w:val="continue"/>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p>
        </w:tc>
      </w:tr>
      <w:tr>
        <w:tblPrEx>
          <w:tblLayout w:type="fixed"/>
          <w:tblCellMar>
            <w:top w:w="0" w:type="dxa"/>
            <w:left w:w="108" w:type="dxa"/>
            <w:bottom w:w="0" w:type="dxa"/>
            <w:right w:w="108" w:type="dxa"/>
          </w:tblCellMar>
        </w:tblPrEx>
        <w:trPr>
          <w:trHeight w:val="360" w:hRule="atLeast"/>
        </w:trPr>
        <w:tc>
          <w:tcPr>
            <w:tcW w:w="468" w:type="dxa"/>
            <w:tcBorders>
              <w:top w:val="single" w:color="4F81BD" w:sz="8" w:space="0"/>
              <w:left w:val="single" w:color="4F81BD" w:sz="8" w:space="0"/>
              <w:bottom w:val="single" w:color="4F81BD" w:sz="8" w:space="0"/>
              <w:right w:val="single" w:color="4F81BD" w:sz="8" w:space="0"/>
            </w:tcBorders>
            <w:shd w:val="clear" w:color="auto" w:fill="auto"/>
            <w:vAlign w:val="center"/>
          </w:tcPr>
          <w:p>
            <w:pPr>
              <w:widowControl/>
              <w:jc w:val="center"/>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5</w:t>
            </w:r>
          </w:p>
        </w:tc>
        <w:tc>
          <w:tcPr>
            <w:tcW w:w="1728" w:type="dxa"/>
            <w:tcBorders>
              <w:top w:val="single" w:color="4F81BD" w:sz="8" w:space="0"/>
              <w:left w:val="nil"/>
              <w:bottom w:val="single" w:color="4F81BD" w:sz="8" w:space="0"/>
              <w:right w:val="single" w:color="4F81BD" w:sz="8" w:space="0"/>
            </w:tcBorders>
            <w:shd w:val="clear" w:color="000000" w:fill="FFFFFF"/>
            <w:vAlign w:val="center"/>
          </w:tcPr>
          <w:p>
            <w:pPr>
              <w:jc w:val="center"/>
              <w:rPr>
                <w:rFonts w:hint="eastAsia" w:ascii="微软雅黑" w:hAnsi="微软雅黑" w:eastAsia="微软雅黑"/>
                <w:sz w:val="24"/>
                <w:szCs w:val="24"/>
                <w:lang w:eastAsia="zh-CN"/>
              </w:rPr>
            </w:pPr>
            <w:r>
              <w:rPr>
                <w:rFonts w:hint="eastAsia" w:ascii="微软雅黑" w:hAnsi="微软雅黑" w:eastAsia="微软雅黑"/>
                <w:sz w:val="24"/>
                <w:szCs w:val="24"/>
                <w:lang w:eastAsia="zh-CN"/>
              </w:rPr>
              <w:t>债券交易员</w:t>
            </w:r>
          </w:p>
        </w:tc>
        <w:tc>
          <w:tcPr>
            <w:tcW w:w="2843"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经济、金融类优先</w:t>
            </w:r>
          </w:p>
        </w:tc>
        <w:tc>
          <w:tcPr>
            <w:tcW w:w="2485" w:type="dxa"/>
            <w:tcBorders>
              <w:top w:val="single" w:color="4F81BD" w:sz="8" w:space="0"/>
              <w:left w:val="nil"/>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8-15万/年</w:t>
            </w:r>
          </w:p>
        </w:tc>
        <w:tc>
          <w:tcPr>
            <w:tcW w:w="998" w:type="dxa"/>
            <w:tcBorders>
              <w:top w:val="single" w:color="4F81BD" w:sz="8" w:space="0"/>
              <w:left w:val="single" w:color="4F81BD" w:sz="8" w:space="0"/>
              <w:bottom w:val="single" w:color="4F81BD" w:sz="8" w:space="0"/>
              <w:right w:val="single" w:color="4F81BD" w:sz="8" w:space="0"/>
            </w:tcBorders>
            <w:shd w:val="clear" w:color="000000" w:fill="FFFFFF"/>
            <w:vAlign w:val="center"/>
          </w:tcPr>
          <w:p>
            <w:pPr>
              <w:widowControl/>
              <w:jc w:val="center"/>
              <w:rPr>
                <w:rFonts w:hint="eastAsia" w:ascii="微软雅黑" w:hAnsi="微软雅黑" w:eastAsia="微软雅黑" w:cs="宋体"/>
                <w:color w:val="000000"/>
                <w:kern w:val="0"/>
                <w:sz w:val="24"/>
                <w:szCs w:val="24"/>
                <w:lang w:val="en-US" w:eastAsia="zh-CN"/>
              </w:rPr>
            </w:pPr>
            <w:r>
              <w:rPr>
                <w:rFonts w:hint="eastAsia" w:ascii="微软雅黑" w:hAnsi="微软雅黑" w:eastAsia="微软雅黑" w:cs="宋体"/>
                <w:color w:val="000000"/>
                <w:kern w:val="0"/>
                <w:sz w:val="24"/>
                <w:szCs w:val="24"/>
                <w:lang w:val="en-US" w:eastAsia="zh-CN"/>
              </w:rPr>
              <w:t>北京</w:t>
            </w:r>
          </w:p>
        </w:tc>
      </w:tr>
    </w:tbl>
    <w:p/>
    <w:p>
      <w:pPr>
        <w:rPr>
          <w:rFonts w:hint="eastAsia"/>
          <w:lang w:val="en-US" w:eastAsia="zh-CN"/>
        </w:rPr>
      </w:pPr>
      <w:r>
        <w:rPr>
          <w:rFonts w:hint="eastAsia"/>
          <w:lang w:val="en-US" w:eastAsia="zh-CN"/>
        </w:rPr>
        <w:t>邮箱投递：zhangying@grand-trade.com，请写明：投递岗位名称+姓名+学校</w:t>
      </w:r>
    </w:p>
    <w:p>
      <w:pPr>
        <w:rPr>
          <w:rFonts w:hint="eastAsia"/>
          <w:lang w:val="en-US" w:eastAsia="zh-CN"/>
        </w:rPr>
      </w:pPr>
    </w:p>
    <w:p>
      <w:pPr>
        <w:pStyle w:val="3"/>
        <w:jc w:val="center"/>
        <w:rPr>
          <w:rFonts w:hint="eastAsia"/>
          <w:lang w:val="en-US" w:eastAsia="zh-CN"/>
        </w:rPr>
      </w:pPr>
      <w:r>
        <w:rPr>
          <w:rFonts w:hint="eastAsia"/>
          <w:lang w:val="en-US" w:eastAsia="zh-CN"/>
        </w:rPr>
        <w:t>应聘流程</w:t>
      </w:r>
    </w:p>
    <w:p>
      <w:pPr>
        <w:rPr>
          <w:rFonts w:hint="eastAsia"/>
          <w:lang w:val="en-US" w:eastAsia="zh-CN"/>
        </w:rPr>
      </w:pPr>
      <w:r>
        <w:rPr>
          <w:rFonts w:hint="eastAsia"/>
          <w:lang w:val="en-US" w:eastAsia="zh-CN"/>
        </w:rPr>
        <w:drawing>
          <wp:inline distT="0" distB="0" distL="114300" distR="114300">
            <wp:extent cx="5269230" cy="1072515"/>
            <wp:effectExtent l="0" t="0" r="7620" b="1333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5"/>
                    <a:stretch>
                      <a:fillRect/>
                    </a:stretch>
                  </pic:blipFill>
                  <pic:spPr>
                    <a:xfrm>
                      <a:off x="0" y="0"/>
                      <a:ext cx="5269230" cy="1072515"/>
                    </a:xfrm>
                    <a:prstGeom prst="rect">
                      <a:avLst/>
                    </a:prstGeom>
                  </pic:spPr>
                </pic:pic>
              </a:graphicData>
            </a:graphic>
          </wp:inline>
        </w:drawing>
      </w:r>
    </w:p>
    <w:p>
      <w:pPr>
        <w:rPr>
          <w:rFonts w:hint="eastAsia"/>
          <w:lang w:val="en-US" w:eastAsia="zh-CN"/>
        </w:rPr>
      </w:pPr>
    </w:p>
    <w:p>
      <w:pPr>
        <w:rPr>
          <w:rFonts w:hint="eastAsia"/>
          <w:lang w:val="en-US" w:eastAsia="zh-CN"/>
        </w:rPr>
      </w:pPr>
    </w:p>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D310D"/>
    <w:multiLevelType w:val="singleLevel"/>
    <w:tmpl w:val="57CD310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54A59"/>
    <w:rsid w:val="00F566C8"/>
    <w:rsid w:val="01C11353"/>
    <w:rsid w:val="02D51395"/>
    <w:rsid w:val="03333AB6"/>
    <w:rsid w:val="035E484A"/>
    <w:rsid w:val="04312506"/>
    <w:rsid w:val="04DC43B1"/>
    <w:rsid w:val="04DF14B5"/>
    <w:rsid w:val="04F33B2B"/>
    <w:rsid w:val="05215755"/>
    <w:rsid w:val="052E3455"/>
    <w:rsid w:val="082741E0"/>
    <w:rsid w:val="0835274E"/>
    <w:rsid w:val="0A220C81"/>
    <w:rsid w:val="0C067DAD"/>
    <w:rsid w:val="11975A85"/>
    <w:rsid w:val="11EF6B20"/>
    <w:rsid w:val="14EC5453"/>
    <w:rsid w:val="15B0174A"/>
    <w:rsid w:val="15F919E1"/>
    <w:rsid w:val="17F14D67"/>
    <w:rsid w:val="1A213029"/>
    <w:rsid w:val="1D014D0B"/>
    <w:rsid w:val="1E1B40A9"/>
    <w:rsid w:val="1E480B61"/>
    <w:rsid w:val="1FDB6D11"/>
    <w:rsid w:val="1FDD0EF8"/>
    <w:rsid w:val="20481BEB"/>
    <w:rsid w:val="20742EC5"/>
    <w:rsid w:val="23512175"/>
    <w:rsid w:val="24E5621B"/>
    <w:rsid w:val="2AAC150F"/>
    <w:rsid w:val="2EA57AE6"/>
    <w:rsid w:val="2F056287"/>
    <w:rsid w:val="2F9322C6"/>
    <w:rsid w:val="311E0F39"/>
    <w:rsid w:val="31357205"/>
    <w:rsid w:val="3291075F"/>
    <w:rsid w:val="330732CE"/>
    <w:rsid w:val="34A76D69"/>
    <w:rsid w:val="34B34E2C"/>
    <w:rsid w:val="34E12BF2"/>
    <w:rsid w:val="35FB1F37"/>
    <w:rsid w:val="36182613"/>
    <w:rsid w:val="372849B2"/>
    <w:rsid w:val="38392676"/>
    <w:rsid w:val="38BE2685"/>
    <w:rsid w:val="38DA4E27"/>
    <w:rsid w:val="39436F06"/>
    <w:rsid w:val="3BDC42C5"/>
    <w:rsid w:val="3F9E591D"/>
    <w:rsid w:val="436400AD"/>
    <w:rsid w:val="44DB4A51"/>
    <w:rsid w:val="451A4437"/>
    <w:rsid w:val="452E2E8E"/>
    <w:rsid w:val="45F744B0"/>
    <w:rsid w:val="468B1597"/>
    <w:rsid w:val="47A450B9"/>
    <w:rsid w:val="49410318"/>
    <w:rsid w:val="495B42EA"/>
    <w:rsid w:val="496952D1"/>
    <w:rsid w:val="4AA44055"/>
    <w:rsid w:val="4BEE7CA3"/>
    <w:rsid w:val="4C5669BC"/>
    <w:rsid w:val="4F5B5539"/>
    <w:rsid w:val="51A60DBF"/>
    <w:rsid w:val="56534C86"/>
    <w:rsid w:val="57BC5DE1"/>
    <w:rsid w:val="584A639C"/>
    <w:rsid w:val="59627411"/>
    <w:rsid w:val="59BF45AA"/>
    <w:rsid w:val="5AD14A6D"/>
    <w:rsid w:val="5AE15E08"/>
    <w:rsid w:val="5CC60CFC"/>
    <w:rsid w:val="5CEC105C"/>
    <w:rsid w:val="5E913488"/>
    <w:rsid w:val="5F380F0E"/>
    <w:rsid w:val="60185C00"/>
    <w:rsid w:val="60345F76"/>
    <w:rsid w:val="6045368C"/>
    <w:rsid w:val="618617A2"/>
    <w:rsid w:val="61C06F1C"/>
    <w:rsid w:val="627D42CF"/>
    <w:rsid w:val="664B5116"/>
    <w:rsid w:val="66D248A9"/>
    <w:rsid w:val="67B64AB4"/>
    <w:rsid w:val="69932BB7"/>
    <w:rsid w:val="6C637495"/>
    <w:rsid w:val="6D890242"/>
    <w:rsid w:val="6EC26675"/>
    <w:rsid w:val="6F4B0BB2"/>
    <w:rsid w:val="7003773E"/>
    <w:rsid w:val="70E97E4C"/>
    <w:rsid w:val="72475A91"/>
    <w:rsid w:val="72DD4AFD"/>
    <w:rsid w:val="73E714A6"/>
    <w:rsid w:val="7487248B"/>
    <w:rsid w:val="7A166528"/>
    <w:rsid w:val="7B0B7C19"/>
    <w:rsid w:val="7BA421C3"/>
    <w:rsid w:val="7D050C34"/>
    <w:rsid w:val="7E1365E7"/>
    <w:rsid w:val="7E9F159D"/>
    <w:rsid w:val="7F8B497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8"/>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styleId="6">
    <w:name w:val="Hyperlink"/>
    <w:basedOn w:val="5"/>
    <w:qFormat/>
    <w:uiPriority w:val="0"/>
    <w:rPr>
      <w:color w:val="0000FF"/>
      <w:u w:val="single"/>
    </w:rPr>
  </w:style>
  <w:style w:type="character" w:customStyle="1" w:styleId="8">
    <w:name w:val="标题 3 Char"/>
    <w:link w:val="4"/>
    <w:qFormat/>
    <w:uiPriority w:val="0"/>
    <w:rPr>
      <w:b/>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2016-10-18T03:14:18Z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